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0DB0" w:rsidRDefault="00826AAD" w:rsidP="006D0DB0">
      <w:pPr>
        <w:pStyle w:val="Title"/>
        <w:pBdr>
          <w:bottom w:val="none" w:sz="0" w:space="0" w:color="auto"/>
        </w:pBdr>
        <w:jc w:val="center"/>
      </w:pPr>
      <w:r>
        <w:rPr>
          <w:noProof/>
          <w:sz w:val="28"/>
        </w:rPr>
        <w:drawing>
          <wp:inline distT="0" distB="0" distL="0" distR="0">
            <wp:extent cx="2647950" cy="2661285"/>
            <wp:effectExtent l="0" t="0" r="0" b="5715"/>
            <wp:docPr id="11" name="Picture 4"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0" cstate="print">
                      <a:extLst>
                        <a:ext uri="{28A0092B-C50C-407E-A947-70E740481C1C}">
                          <a14:useLocalDpi xmlns:a14="http://schemas.microsoft.com/office/drawing/2010/main"/>
                        </a:ext>
                      </a:extLst>
                    </a:blip>
                    <a:stretch>
                      <a:fillRect/>
                    </a:stretch>
                  </pic:blipFill>
                  <pic:spPr>
                    <a:xfrm>
                      <a:off x="0" y="0"/>
                      <a:ext cx="2647950" cy="2661285"/>
                    </a:xfrm>
                    <a:prstGeom prst="rect">
                      <a:avLst/>
                    </a:prstGeom>
                  </pic:spPr>
                </pic:pic>
              </a:graphicData>
            </a:graphic>
          </wp:inline>
        </w:drawing>
      </w:r>
    </w:p>
    <w:p w:rsidR="00826AAD" w:rsidRDefault="00826AAD" w:rsidP="006D0DB0">
      <w:pPr>
        <w:pStyle w:val="Title"/>
        <w:pBdr>
          <w:bottom w:val="none" w:sz="0" w:space="0" w:color="auto"/>
        </w:pBdr>
        <w:jc w:val="center"/>
      </w:pPr>
      <w:r w:rsidRPr="00826AAD">
        <w:t xml:space="preserve">The Louisiana </w:t>
      </w:r>
      <w:r w:rsidR="006555F0">
        <w:t xml:space="preserve">State </w:t>
      </w:r>
      <w:r w:rsidRPr="00826AAD">
        <w:t>Epidemiolog</w:t>
      </w:r>
      <w:r w:rsidR="00F241C2">
        <w:t>ical</w:t>
      </w:r>
      <w:r w:rsidRPr="00826AAD">
        <w:t xml:space="preserve"> Profile</w:t>
      </w:r>
    </w:p>
    <w:p w:rsidR="00826AAD" w:rsidRDefault="00826AAD" w:rsidP="006D1A5D"/>
    <w:p w:rsidR="007B3E8A" w:rsidRDefault="007B3E8A" w:rsidP="006D1A5D"/>
    <w:p w:rsidR="007B3E8A" w:rsidRDefault="007B3E8A" w:rsidP="006D1A5D"/>
    <w:p w:rsidR="007B3E8A" w:rsidRDefault="007B3E8A" w:rsidP="006D1A5D"/>
    <w:p w:rsidR="007B3E8A" w:rsidRDefault="007B3E8A" w:rsidP="006D1A5D"/>
    <w:p w:rsidR="007B3E8A" w:rsidRDefault="007B3E8A" w:rsidP="006D0DB0">
      <w:pPr>
        <w:pStyle w:val="Subtitle"/>
        <w:jc w:val="center"/>
      </w:pPr>
      <w:r>
        <w:t>May 2013</w:t>
      </w:r>
    </w:p>
    <w:p w:rsidR="007B3E8A" w:rsidRDefault="007B3E8A" w:rsidP="006D1A5D"/>
    <w:p w:rsidR="007B3E8A" w:rsidRPr="006D0DB0" w:rsidRDefault="007B3E8A" w:rsidP="006D0DB0">
      <w:pPr>
        <w:jc w:val="center"/>
        <w:rPr>
          <w:rStyle w:val="Strong"/>
          <w:b w:val="0"/>
        </w:rPr>
      </w:pPr>
      <w:r w:rsidRPr="006D0DB0">
        <w:rPr>
          <w:rStyle w:val="Strong"/>
        </w:rPr>
        <w:t>Prepared by</w:t>
      </w:r>
      <w:proofErr w:type="gramStart"/>
      <w:r w:rsidRPr="006D0DB0">
        <w:rPr>
          <w:rStyle w:val="Strong"/>
        </w:rPr>
        <w:t>:</w:t>
      </w:r>
      <w:proofErr w:type="gramEnd"/>
      <w:r w:rsidRPr="006D0DB0">
        <w:rPr>
          <w:rStyle w:val="Strong"/>
        </w:rPr>
        <w:br/>
      </w:r>
      <w:r w:rsidRPr="006D0DB0">
        <w:rPr>
          <w:rStyle w:val="Strong"/>
          <w:b w:val="0"/>
        </w:rPr>
        <w:t>The State Epidemiolog</w:t>
      </w:r>
      <w:r w:rsidR="006555F0">
        <w:rPr>
          <w:rStyle w:val="Strong"/>
          <w:b w:val="0"/>
        </w:rPr>
        <w:t>y</w:t>
      </w:r>
      <w:r w:rsidRPr="006D0DB0">
        <w:rPr>
          <w:rStyle w:val="Strong"/>
          <w:b w:val="0"/>
        </w:rPr>
        <w:t xml:space="preserve"> Workgroup</w:t>
      </w:r>
    </w:p>
    <w:p w:rsidR="007B3E8A" w:rsidRPr="006D0DB0" w:rsidRDefault="007B3E8A" w:rsidP="006D0DB0">
      <w:pPr>
        <w:jc w:val="center"/>
        <w:rPr>
          <w:rStyle w:val="Strong"/>
          <w:b w:val="0"/>
        </w:rPr>
        <w:sectPr w:rsidR="007B3E8A" w:rsidRPr="006D0DB0" w:rsidSect="007D3CC6">
          <w:headerReference w:type="default" r:id="rId11"/>
          <w:footerReference w:type="default" r:id="rId12"/>
          <w:pgSz w:w="12240" w:h="15840"/>
          <w:pgMar w:top="1440" w:right="1152" w:bottom="1152" w:left="1152" w:header="720" w:footer="216" w:gutter="0"/>
          <w:cols w:space="720"/>
          <w:docGrid w:linePitch="360"/>
        </w:sectPr>
      </w:pPr>
      <w:r w:rsidRPr="006D0DB0">
        <w:rPr>
          <w:rStyle w:val="Strong"/>
          <w:b w:val="0"/>
        </w:rPr>
        <w:t>And The Cecil J. Picard Center for Child Development and Lifelong Learning</w:t>
      </w:r>
    </w:p>
    <w:sdt>
      <w:sdtPr>
        <w:rPr>
          <w:b w:val="0"/>
          <w:bCs/>
          <w:color w:val="auto"/>
          <w:sz w:val="22"/>
          <w:szCs w:val="22"/>
          <w:lang w:eastAsia="en-US"/>
        </w:rPr>
        <w:id w:val="-290904440"/>
        <w:docPartObj>
          <w:docPartGallery w:val="Table of Contents"/>
          <w:docPartUnique/>
        </w:docPartObj>
      </w:sdtPr>
      <w:sdtEndPr>
        <w:rPr>
          <w:noProof/>
        </w:rPr>
      </w:sdtEndPr>
      <w:sdtContent>
        <w:p w:rsidR="00CD7A98" w:rsidRDefault="00CD7A98">
          <w:pPr>
            <w:pStyle w:val="TOCHeading"/>
          </w:pPr>
          <w:r>
            <w:t>Contents</w:t>
          </w:r>
        </w:p>
        <w:p w:rsidR="00FB5A0A" w:rsidRDefault="00DD1BE8">
          <w:pPr>
            <w:pStyle w:val="TOC1"/>
            <w:tabs>
              <w:tab w:val="right" w:leader="dot" w:pos="9926"/>
            </w:tabs>
            <w:rPr>
              <w:rFonts w:asciiTheme="minorHAnsi" w:hAnsiTheme="minorHAnsi"/>
              <w:noProof/>
            </w:rPr>
          </w:pPr>
          <w:r>
            <w:fldChar w:fldCharType="begin"/>
          </w:r>
          <w:r w:rsidR="00CD7A98">
            <w:instrText xml:space="preserve"> TOC \o "1-3" \h \z \u </w:instrText>
          </w:r>
          <w:r>
            <w:fldChar w:fldCharType="separate"/>
          </w:r>
          <w:hyperlink w:anchor="_Toc362873933" w:history="1">
            <w:r w:rsidR="00FB5A0A" w:rsidRPr="0099706C">
              <w:rPr>
                <w:rStyle w:val="Hyperlink"/>
                <w:noProof/>
              </w:rPr>
              <w:t>List of Figures</w:t>
            </w:r>
            <w:r w:rsidR="00FB5A0A">
              <w:rPr>
                <w:noProof/>
                <w:webHidden/>
              </w:rPr>
              <w:tab/>
            </w:r>
            <w:r>
              <w:rPr>
                <w:noProof/>
                <w:webHidden/>
              </w:rPr>
              <w:fldChar w:fldCharType="begin"/>
            </w:r>
            <w:r w:rsidR="00FB5A0A">
              <w:rPr>
                <w:noProof/>
                <w:webHidden/>
              </w:rPr>
              <w:instrText xml:space="preserve"> PAGEREF _Toc362873933 \h </w:instrText>
            </w:r>
            <w:r>
              <w:rPr>
                <w:noProof/>
                <w:webHidden/>
              </w:rPr>
            </w:r>
            <w:r>
              <w:rPr>
                <w:noProof/>
                <w:webHidden/>
              </w:rPr>
              <w:fldChar w:fldCharType="separate"/>
            </w:r>
            <w:r w:rsidR="00205C46">
              <w:rPr>
                <w:noProof/>
                <w:webHidden/>
              </w:rPr>
              <w:t>ii</w:t>
            </w:r>
            <w:r>
              <w:rPr>
                <w:noProof/>
                <w:webHidden/>
              </w:rPr>
              <w:fldChar w:fldCharType="end"/>
            </w:r>
          </w:hyperlink>
        </w:p>
        <w:p w:rsidR="00FB5A0A" w:rsidRDefault="00205C46">
          <w:pPr>
            <w:pStyle w:val="TOC1"/>
            <w:tabs>
              <w:tab w:val="right" w:leader="dot" w:pos="9926"/>
            </w:tabs>
            <w:rPr>
              <w:rFonts w:asciiTheme="minorHAnsi" w:hAnsiTheme="minorHAnsi"/>
              <w:noProof/>
            </w:rPr>
          </w:pPr>
          <w:hyperlink w:anchor="_Toc362873934" w:history="1">
            <w:r w:rsidR="00FB5A0A" w:rsidRPr="0099706C">
              <w:rPr>
                <w:rStyle w:val="Hyperlink"/>
                <w:noProof/>
              </w:rPr>
              <w:t>State Epidemiology Workgroup Membership</w:t>
            </w:r>
            <w:r w:rsidR="00FB5A0A">
              <w:rPr>
                <w:noProof/>
                <w:webHidden/>
              </w:rPr>
              <w:tab/>
            </w:r>
            <w:r w:rsidR="00DD1BE8">
              <w:rPr>
                <w:noProof/>
                <w:webHidden/>
              </w:rPr>
              <w:fldChar w:fldCharType="begin"/>
            </w:r>
            <w:r w:rsidR="00FB5A0A">
              <w:rPr>
                <w:noProof/>
                <w:webHidden/>
              </w:rPr>
              <w:instrText xml:space="preserve"> PAGEREF _Toc362873934 \h </w:instrText>
            </w:r>
            <w:r w:rsidR="00DD1BE8">
              <w:rPr>
                <w:noProof/>
                <w:webHidden/>
              </w:rPr>
            </w:r>
            <w:r w:rsidR="00DD1BE8">
              <w:rPr>
                <w:noProof/>
                <w:webHidden/>
              </w:rPr>
              <w:fldChar w:fldCharType="separate"/>
            </w:r>
            <w:r>
              <w:rPr>
                <w:noProof/>
                <w:webHidden/>
              </w:rPr>
              <w:t>iv</w:t>
            </w:r>
            <w:r w:rsidR="00DD1BE8">
              <w:rPr>
                <w:noProof/>
                <w:webHidden/>
              </w:rPr>
              <w:fldChar w:fldCharType="end"/>
            </w:r>
          </w:hyperlink>
        </w:p>
        <w:p w:rsidR="00FB5A0A" w:rsidRDefault="00205C46">
          <w:pPr>
            <w:pStyle w:val="TOC1"/>
            <w:tabs>
              <w:tab w:val="right" w:leader="dot" w:pos="9926"/>
            </w:tabs>
            <w:rPr>
              <w:rFonts w:asciiTheme="minorHAnsi" w:hAnsiTheme="minorHAnsi"/>
              <w:noProof/>
            </w:rPr>
          </w:pPr>
          <w:hyperlink w:anchor="_Toc362873935" w:history="1">
            <w:r w:rsidR="00FB5A0A" w:rsidRPr="0099706C">
              <w:rPr>
                <w:rStyle w:val="Hyperlink"/>
                <w:noProof/>
              </w:rPr>
              <w:t>Executive Summary</w:t>
            </w:r>
            <w:r w:rsidR="00FB5A0A">
              <w:rPr>
                <w:noProof/>
                <w:webHidden/>
              </w:rPr>
              <w:tab/>
            </w:r>
            <w:r w:rsidR="00DD1BE8">
              <w:rPr>
                <w:noProof/>
                <w:webHidden/>
              </w:rPr>
              <w:fldChar w:fldCharType="begin"/>
            </w:r>
            <w:r w:rsidR="00FB5A0A">
              <w:rPr>
                <w:noProof/>
                <w:webHidden/>
              </w:rPr>
              <w:instrText xml:space="preserve"> PAGEREF _Toc362873935 \h </w:instrText>
            </w:r>
            <w:r w:rsidR="00DD1BE8">
              <w:rPr>
                <w:noProof/>
                <w:webHidden/>
              </w:rPr>
            </w:r>
            <w:r w:rsidR="00DD1BE8">
              <w:rPr>
                <w:noProof/>
                <w:webHidden/>
              </w:rPr>
              <w:fldChar w:fldCharType="separate"/>
            </w:r>
            <w:r>
              <w:rPr>
                <w:noProof/>
                <w:webHidden/>
              </w:rPr>
              <w:t>v</w:t>
            </w:r>
            <w:r w:rsidR="00DD1BE8">
              <w:rPr>
                <w:noProof/>
                <w:webHidden/>
              </w:rPr>
              <w:fldChar w:fldCharType="end"/>
            </w:r>
          </w:hyperlink>
        </w:p>
        <w:p w:rsidR="00FB5A0A" w:rsidRDefault="00205C46">
          <w:pPr>
            <w:pStyle w:val="TOC1"/>
            <w:tabs>
              <w:tab w:val="right" w:leader="dot" w:pos="9926"/>
            </w:tabs>
            <w:rPr>
              <w:rFonts w:asciiTheme="minorHAnsi" w:hAnsiTheme="minorHAnsi"/>
              <w:noProof/>
            </w:rPr>
          </w:pPr>
          <w:hyperlink w:anchor="_Toc362873936" w:history="1">
            <w:r w:rsidR="00FB5A0A" w:rsidRPr="0099706C">
              <w:rPr>
                <w:rStyle w:val="Hyperlink"/>
                <w:noProof/>
              </w:rPr>
              <w:t>The Louisiana State Epidemiological Profile</w:t>
            </w:r>
            <w:r w:rsidR="00FB5A0A">
              <w:rPr>
                <w:noProof/>
                <w:webHidden/>
              </w:rPr>
              <w:tab/>
            </w:r>
            <w:r w:rsidR="00DD1BE8">
              <w:rPr>
                <w:noProof/>
                <w:webHidden/>
              </w:rPr>
              <w:fldChar w:fldCharType="begin"/>
            </w:r>
            <w:r w:rsidR="00FB5A0A">
              <w:rPr>
                <w:noProof/>
                <w:webHidden/>
              </w:rPr>
              <w:instrText xml:space="preserve"> PAGEREF _Toc362873936 \h </w:instrText>
            </w:r>
            <w:r w:rsidR="00DD1BE8">
              <w:rPr>
                <w:noProof/>
                <w:webHidden/>
              </w:rPr>
            </w:r>
            <w:r w:rsidR="00DD1BE8">
              <w:rPr>
                <w:noProof/>
                <w:webHidden/>
              </w:rPr>
              <w:fldChar w:fldCharType="separate"/>
            </w:r>
            <w:r>
              <w:rPr>
                <w:noProof/>
                <w:webHidden/>
              </w:rPr>
              <w:t>1</w:t>
            </w:r>
            <w:r w:rsidR="00DD1BE8">
              <w:rPr>
                <w:noProof/>
                <w:webHidden/>
              </w:rPr>
              <w:fldChar w:fldCharType="end"/>
            </w:r>
          </w:hyperlink>
        </w:p>
        <w:p w:rsidR="00FB5A0A" w:rsidRDefault="00205C46">
          <w:pPr>
            <w:pStyle w:val="TOC2"/>
            <w:tabs>
              <w:tab w:val="right" w:leader="dot" w:pos="9926"/>
            </w:tabs>
            <w:rPr>
              <w:rFonts w:asciiTheme="minorHAnsi" w:hAnsiTheme="minorHAnsi"/>
              <w:noProof/>
            </w:rPr>
          </w:pPr>
          <w:hyperlink w:anchor="_Toc362873937" w:history="1">
            <w:r w:rsidR="00FB5A0A" w:rsidRPr="0099706C">
              <w:rPr>
                <w:rStyle w:val="Hyperlink"/>
                <w:noProof/>
              </w:rPr>
              <w:t>Introduction</w:t>
            </w:r>
            <w:r w:rsidR="00FB5A0A">
              <w:rPr>
                <w:noProof/>
                <w:webHidden/>
              </w:rPr>
              <w:tab/>
            </w:r>
            <w:r w:rsidR="00DD1BE8">
              <w:rPr>
                <w:noProof/>
                <w:webHidden/>
              </w:rPr>
              <w:fldChar w:fldCharType="begin"/>
            </w:r>
            <w:r w:rsidR="00FB5A0A">
              <w:rPr>
                <w:noProof/>
                <w:webHidden/>
              </w:rPr>
              <w:instrText xml:space="preserve"> PAGEREF _Toc362873937 \h </w:instrText>
            </w:r>
            <w:r w:rsidR="00DD1BE8">
              <w:rPr>
                <w:noProof/>
                <w:webHidden/>
              </w:rPr>
            </w:r>
            <w:r w:rsidR="00DD1BE8">
              <w:rPr>
                <w:noProof/>
                <w:webHidden/>
              </w:rPr>
              <w:fldChar w:fldCharType="separate"/>
            </w:r>
            <w:r>
              <w:rPr>
                <w:noProof/>
                <w:webHidden/>
              </w:rPr>
              <w:t>1</w:t>
            </w:r>
            <w:r w:rsidR="00DD1BE8">
              <w:rPr>
                <w:noProof/>
                <w:webHidden/>
              </w:rPr>
              <w:fldChar w:fldCharType="end"/>
            </w:r>
          </w:hyperlink>
        </w:p>
        <w:p w:rsidR="00FB5A0A" w:rsidRDefault="00205C46">
          <w:pPr>
            <w:pStyle w:val="TOC2"/>
            <w:tabs>
              <w:tab w:val="right" w:leader="dot" w:pos="9926"/>
            </w:tabs>
            <w:rPr>
              <w:rFonts w:asciiTheme="minorHAnsi" w:hAnsiTheme="minorHAnsi"/>
              <w:noProof/>
            </w:rPr>
          </w:pPr>
          <w:hyperlink w:anchor="_Toc362873938" w:history="1">
            <w:r w:rsidR="00FB5A0A" w:rsidRPr="0099706C">
              <w:rPr>
                <w:rStyle w:val="Hyperlink"/>
                <w:noProof/>
              </w:rPr>
              <w:t>The Mission of the State Epidemiology Workgroup</w:t>
            </w:r>
            <w:r w:rsidR="00FB5A0A">
              <w:rPr>
                <w:noProof/>
                <w:webHidden/>
              </w:rPr>
              <w:tab/>
            </w:r>
            <w:r w:rsidR="00DD1BE8">
              <w:rPr>
                <w:noProof/>
                <w:webHidden/>
              </w:rPr>
              <w:fldChar w:fldCharType="begin"/>
            </w:r>
            <w:r w:rsidR="00FB5A0A">
              <w:rPr>
                <w:noProof/>
                <w:webHidden/>
              </w:rPr>
              <w:instrText xml:space="preserve"> PAGEREF _Toc362873938 \h </w:instrText>
            </w:r>
            <w:r w:rsidR="00DD1BE8">
              <w:rPr>
                <w:noProof/>
                <w:webHidden/>
              </w:rPr>
            </w:r>
            <w:r w:rsidR="00DD1BE8">
              <w:rPr>
                <w:noProof/>
                <w:webHidden/>
              </w:rPr>
              <w:fldChar w:fldCharType="separate"/>
            </w:r>
            <w:r>
              <w:rPr>
                <w:noProof/>
                <w:webHidden/>
              </w:rPr>
              <w:t>1</w:t>
            </w:r>
            <w:r w:rsidR="00DD1BE8">
              <w:rPr>
                <w:noProof/>
                <w:webHidden/>
              </w:rPr>
              <w:fldChar w:fldCharType="end"/>
            </w:r>
          </w:hyperlink>
          <w:bookmarkStart w:id="0" w:name="_GoBack"/>
          <w:bookmarkEnd w:id="0"/>
        </w:p>
        <w:p w:rsidR="00FB5A0A" w:rsidRDefault="00205C46">
          <w:pPr>
            <w:pStyle w:val="TOC2"/>
            <w:tabs>
              <w:tab w:val="right" w:leader="dot" w:pos="9926"/>
            </w:tabs>
            <w:rPr>
              <w:rFonts w:asciiTheme="minorHAnsi" w:hAnsiTheme="minorHAnsi"/>
              <w:noProof/>
            </w:rPr>
          </w:pPr>
          <w:hyperlink w:anchor="_Toc362873939" w:history="1">
            <w:r w:rsidR="00FB5A0A" w:rsidRPr="0099706C">
              <w:rPr>
                <w:rStyle w:val="Hyperlink"/>
                <w:noProof/>
              </w:rPr>
              <w:t>SEW Data Prioritization</w:t>
            </w:r>
            <w:r w:rsidR="00FB5A0A">
              <w:rPr>
                <w:noProof/>
                <w:webHidden/>
              </w:rPr>
              <w:tab/>
            </w:r>
            <w:r w:rsidR="00DD1BE8">
              <w:rPr>
                <w:noProof/>
                <w:webHidden/>
              </w:rPr>
              <w:fldChar w:fldCharType="begin"/>
            </w:r>
            <w:r w:rsidR="00FB5A0A">
              <w:rPr>
                <w:noProof/>
                <w:webHidden/>
              </w:rPr>
              <w:instrText xml:space="preserve"> PAGEREF _Toc362873939 \h </w:instrText>
            </w:r>
            <w:r w:rsidR="00DD1BE8">
              <w:rPr>
                <w:noProof/>
                <w:webHidden/>
              </w:rPr>
            </w:r>
            <w:r w:rsidR="00DD1BE8">
              <w:rPr>
                <w:noProof/>
                <w:webHidden/>
              </w:rPr>
              <w:fldChar w:fldCharType="separate"/>
            </w:r>
            <w:r>
              <w:rPr>
                <w:noProof/>
                <w:webHidden/>
              </w:rPr>
              <w:t>2</w:t>
            </w:r>
            <w:r w:rsidR="00DD1BE8">
              <w:rPr>
                <w:noProof/>
                <w:webHidden/>
              </w:rPr>
              <w:fldChar w:fldCharType="end"/>
            </w:r>
          </w:hyperlink>
        </w:p>
        <w:p w:rsidR="00FB5A0A" w:rsidRDefault="00205C46">
          <w:pPr>
            <w:pStyle w:val="TOC3"/>
            <w:tabs>
              <w:tab w:val="right" w:leader="dot" w:pos="9926"/>
            </w:tabs>
            <w:rPr>
              <w:rFonts w:asciiTheme="minorHAnsi" w:hAnsiTheme="minorHAnsi"/>
              <w:noProof/>
            </w:rPr>
          </w:pPr>
          <w:hyperlink w:anchor="_Toc362873940" w:history="1">
            <w:r w:rsidR="00FB5A0A" w:rsidRPr="0099706C">
              <w:rPr>
                <w:rStyle w:val="Hyperlink"/>
                <w:noProof/>
              </w:rPr>
              <w:t>Illicit Drugs</w:t>
            </w:r>
            <w:r w:rsidR="00FB5A0A">
              <w:rPr>
                <w:noProof/>
                <w:webHidden/>
              </w:rPr>
              <w:tab/>
            </w:r>
            <w:r w:rsidR="00DD1BE8">
              <w:rPr>
                <w:noProof/>
                <w:webHidden/>
              </w:rPr>
              <w:fldChar w:fldCharType="begin"/>
            </w:r>
            <w:r w:rsidR="00FB5A0A">
              <w:rPr>
                <w:noProof/>
                <w:webHidden/>
              </w:rPr>
              <w:instrText xml:space="preserve"> PAGEREF _Toc362873940 \h </w:instrText>
            </w:r>
            <w:r w:rsidR="00DD1BE8">
              <w:rPr>
                <w:noProof/>
                <w:webHidden/>
              </w:rPr>
            </w:r>
            <w:r w:rsidR="00DD1BE8">
              <w:rPr>
                <w:noProof/>
                <w:webHidden/>
              </w:rPr>
              <w:fldChar w:fldCharType="separate"/>
            </w:r>
            <w:r>
              <w:rPr>
                <w:noProof/>
                <w:webHidden/>
              </w:rPr>
              <w:t>3</w:t>
            </w:r>
            <w:r w:rsidR="00DD1BE8">
              <w:rPr>
                <w:noProof/>
                <w:webHidden/>
              </w:rPr>
              <w:fldChar w:fldCharType="end"/>
            </w:r>
          </w:hyperlink>
        </w:p>
        <w:p w:rsidR="00FB5A0A" w:rsidRDefault="00205C46">
          <w:pPr>
            <w:pStyle w:val="TOC3"/>
            <w:tabs>
              <w:tab w:val="right" w:leader="dot" w:pos="9926"/>
            </w:tabs>
            <w:rPr>
              <w:rFonts w:asciiTheme="minorHAnsi" w:hAnsiTheme="minorHAnsi"/>
              <w:noProof/>
            </w:rPr>
          </w:pPr>
          <w:hyperlink w:anchor="_Toc362873941" w:history="1">
            <w:r w:rsidR="00FB5A0A" w:rsidRPr="0099706C">
              <w:rPr>
                <w:rStyle w:val="Hyperlink"/>
                <w:noProof/>
              </w:rPr>
              <w:t>Alcohol</w:t>
            </w:r>
            <w:r w:rsidR="00FB5A0A">
              <w:rPr>
                <w:noProof/>
                <w:webHidden/>
              </w:rPr>
              <w:tab/>
            </w:r>
            <w:r w:rsidR="00DD1BE8">
              <w:rPr>
                <w:noProof/>
                <w:webHidden/>
              </w:rPr>
              <w:fldChar w:fldCharType="begin"/>
            </w:r>
            <w:r w:rsidR="00FB5A0A">
              <w:rPr>
                <w:noProof/>
                <w:webHidden/>
              </w:rPr>
              <w:instrText xml:space="preserve"> PAGEREF _Toc362873941 \h </w:instrText>
            </w:r>
            <w:r w:rsidR="00DD1BE8">
              <w:rPr>
                <w:noProof/>
                <w:webHidden/>
              </w:rPr>
            </w:r>
            <w:r w:rsidR="00DD1BE8">
              <w:rPr>
                <w:noProof/>
                <w:webHidden/>
              </w:rPr>
              <w:fldChar w:fldCharType="separate"/>
            </w:r>
            <w:r>
              <w:rPr>
                <w:noProof/>
                <w:webHidden/>
              </w:rPr>
              <w:t>3</w:t>
            </w:r>
            <w:r w:rsidR="00DD1BE8">
              <w:rPr>
                <w:noProof/>
                <w:webHidden/>
              </w:rPr>
              <w:fldChar w:fldCharType="end"/>
            </w:r>
          </w:hyperlink>
        </w:p>
        <w:p w:rsidR="00FB5A0A" w:rsidRDefault="00205C46">
          <w:pPr>
            <w:pStyle w:val="TOC3"/>
            <w:tabs>
              <w:tab w:val="right" w:leader="dot" w:pos="9926"/>
            </w:tabs>
            <w:rPr>
              <w:rFonts w:asciiTheme="minorHAnsi" w:hAnsiTheme="minorHAnsi"/>
              <w:noProof/>
            </w:rPr>
          </w:pPr>
          <w:hyperlink w:anchor="_Toc362873942" w:history="1">
            <w:r w:rsidR="00FB5A0A" w:rsidRPr="0099706C">
              <w:rPr>
                <w:rStyle w:val="Hyperlink"/>
                <w:noProof/>
              </w:rPr>
              <w:t>Tobacco</w:t>
            </w:r>
            <w:r w:rsidR="00FB5A0A">
              <w:rPr>
                <w:noProof/>
                <w:webHidden/>
              </w:rPr>
              <w:tab/>
            </w:r>
            <w:r w:rsidR="00DD1BE8">
              <w:rPr>
                <w:noProof/>
                <w:webHidden/>
              </w:rPr>
              <w:fldChar w:fldCharType="begin"/>
            </w:r>
            <w:r w:rsidR="00FB5A0A">
              <w:rPr>
                <w:noProof/>
                <w:webHidden/>
              </w:rPr>
              <w:instrText xml:space="preserve"> PAGEREF _Toc362873942 \h </w:instrText>
            </w:r>
            <w:r w:rsidR="00DD1BE8">
              <w:rPr>
                <w:noProof/>
                <w:webHidden/>
              </w:rPr>
            </w:r>
            <w:r w:rsidR="00DD1BE8">
              <w:rPr>
                <w:noProof/>
                <w:webHidden/>
              </w:rPr>
              <w:fldChar w:fldCharType="separate"/>
            </w:r>
            <w:r>
              <w:rPr>
                <w:noProof/>
                <w:webHidden/>
              </w:rPr>
              <w:t>3</w:t>
            </w:r>
            <w:r w:rsidR="00DD1BE8">
              <w:rPr>
                <w:noProof/>
                <w:webHidden/>
              </w:rPr>
              <w:fldChar w:fldCharType="end"/>
            </w:r>
          </w:hyperlink>
        </w:p>
        <w:p w:rsidR="00FB5A0A" w:rsidRDefault="00205C46">
          <w:pPr>
            <w:pStyle w:val="TOC2"/>
            <w:tabs>
              <w:tab w:val="right" w:leader="dot" w:pos="9926"/>
            </w:tabs>
            <w:rPr>
              <w:rFonts w:asciiTheme="minorHAnsi" w:hAnsiTheme="minorHAnsi"/>
              <w:noProof/>
            </w:rPr>
          </w:pPr>
          <w:hyperlink w:anchor="_Toc362873943" w:history="1">
            <w:r w:rsidR="00FB5A0A" w:rsidRPr="0099706C">
              <w:rPr>
                <w:rStyle w:val="Hyperlink"/>
                <w:noProof/>
              </w:rPr>
              <w:t>The Organization of the Louisiana State Epidemiological Profile</w:t>
            </w:r>
            <w:r w:rsidR="00FB5A0A">
              <w:rPr>
                <w:noProof/>
                <w:webHidden/>
              </w:rPr>
              <w:tab/>
            </w:r>
            <w:r w:rsidR="00DD1BE8">
              <w:rPr>
                <w:noProof/>
                <w:webHidden/>
              </w:rPr>
              <w:fldChar w:fldCharType="begin"/>
            </w:r>
            <w:r w:rsidR="00FB5A0A">
              <w:rPr>
                <w:noProof/>
                <w:webHidden/>
              </w:rPr>
              <w:instrText xml:space="preserve"> PAGEREF _Toc362873943 \h </w:instrText>
            </w:r>
            <w:r w:rsidR="00DD1BE8">
              <w:rPr>
                <w:noProof/>
                <w:webHidden/>
              </w:rPr>
            </w:r>
            <w:r w:rsidR="00DD1BE8">
              <w:rPr>
                <w:noProof/>
                <w:webHidden/>
              </w:rPr>
              <w:fldChar w:fldCharType="separate"/>
            </w:r>
            <w:r>
              <w:rPr>
                <w:noProof/>
                <w:webHidden/>
              </w:rPr>
              <w:t>4</w:t>
            </w:r>
            <w:r w:rsidR="00DD1BE8">
              <w:rPr>
                <w:noProof/>
                <w:webHidden/>
              </w:rPr>
              <w:fldChar w:fldCharType="end"/>
            </w:r>
          </w:hyperlink>
        </w:p>
        <w:p w:rsidR="00FB5A0A" w:rsidRDefault="00205C46">
          <w:pPr>
            <w:pStyle w:val="TOC1"/>
            <w:tabs>
              <w:tab w:val="right" w:leader="dot" w:pos="9926"/>
            </w:tabs>
            <w:rPr>
              <w:rFonts w:asciiTheme="minorHAnsi" w:hAnsiTheme="minorHAnsi"/>
              <w:noProof/>
            </w:rPr>
          </w:pPr>
          <w:hyperlink w:anchor="_Toc362873944" w:history="1">
            <w:r w:rsidR="00FB5A0A" w:rsidRPr="0099706C">
              <w:rPr>
                <w:rStyle w:val="Hyperlink"/>
                <w:noProof/>
              </w:rPr>
              <w:t>Louisiana Population Overview</w:t>
            </w:r>
            <w:r w:rsidR="00FB5A0A">
              <w:rPr>
                <w:noProof/>
                <w:webHidden/>
              </w:rPr>
              <w:tab/>
            </w:r>
            <w:r w:rsidR="00DD1BE8">
              <w:rPr>
                <w:noProof/>
                <w:webHidden/>
              </w:rPr>
              <w:fldChar w:fldCharType="begin"/>
            </w:r>
            <w:r w:rsidR="00FB5A0A">
              <w:rPr>
                <w:noProof/>
                <w:webHidden/>
              </w:rPr>
              <w:instrText xml:space="preserve"> PAGEREF _Toc362873944 \h </w:instrText>
            </w:r>
            <w:r w:rsidR="00DD1BE8">
              <w:rPr>
                <w:noProof/>
                <w:webHidden/>
              </w:rPr>
            </w:r>
            <w:r w:rsidR="00DD1BE8">
              <w:rPr>
                <w:noProof/>
                <w:webHidden/>
              </w:rPr>
              <w:fldChar w:fldCharType="separate"/>
            </w:r>
            <w:r>
              <w:rPr>
                <w:noProof/>
                <w:webHidden/>
              </w:rPr>
              <w:t>5</w:t>
            </w:r>
            <w:r w:rsidR="00DD1BE8">
              <w:rPr>
                <w:noProof/>
                <w:webHidden/>
              </w:rPr>
              <w:fldChar w:fldCharType="end"/>
            </w:r>
          </w:hyperlink>
        </w:p>
        <w:p w:rsidR="00FB5A0A" w:rsidRDefault="00205C46">
          <w:pPr>
            <w:pStyle w:val="TOC1"/>
            <w:tabs>
              <w:tab w:val="right" w:leader="dot" w:pos="9926"/>
            </w:tabs>
            <w:rPr>
              <w:rFonts w:asciiTheme="minorHAnsi" w:hAnsiTheme="minorHAnsi"/>
              <w:noProof/>
            </w:rPr>
          </w:pPr>
          <w:hyperlink w:anchor="_Toc362873945" w:history="1">
            <w:r w:rsidR="00FB5A0A" w:rsidRPr="0099706C">
              <w:rPr>
                <w:rStyle w:val="Hyperlink"/>
                <w:noProof/>
              </w:rPr>
              <w:t>Substance Abuse Indicators</w:t>
            </w:r>
            <w:r w:rsidR="00FB5A0A">
              <w:rPr>
                <w:noProof/>
                <w:webHidden/>
              </w:rPr>
              <w:tab/>
            </w:r>
            <w:r w:rsidR="00DD1BE8">
              <w:rPr>
                <w:noProof/>
                <w:webHidden/>
              </w:rPr>
              <w:fldChar w:fldCharType="begin"/>
            </w:r>
            <w:r w:rsidR="00FB5A0A">
              <w:rPr>
                <w:noProof/>
                <w:webHidden/>
              </w:rPr>
              <w:instrText xml:space="preserve"> PAGEREF _Toc362873945 \h </w:instrText>
            </w:r>
            <w:r w:rsidR="00DD1BE8">
              <w:rPr>
                <w:noProof/>
                <w:webHidden/>
              </w:rPr>
            </w:r>
            <w:r w:rsidR="00DD1BE8">
              <w:rPr>
                <w:noProof/>
                <w:webHidden/>
              </w:rPr>
              <w:fldChar w:fldCharType="separate"/>
            </w:r>
            <w:r>
              <w:rPr>
                <w:noProof/>
                <w:webHidden/>
              </w:rPr>
              <w:t>8</w:t>
            </w:r>
            <w:r w:rsidR="00DD1BE8">
              <w:rPr>
                <w:noProof/>
                <w:webHidden/>
              </w:rPr>
              <w:fldChar w:fldCharType="end"/>
            </w:r>
          </w:hyperlink>
        </w:p>
        <w:p w:rsidR="00FB5A0A" w:rsidRDefault="00205C46">
          <w:pPr>
            <w:pStyle w:val="TOC2"/>
            <w:tabs>
              <w:tab w:val="right" w:leader="dot" w:pos="9926"/>
            </w:tabs>
            <w:rPr>
              <w:rFonts w:asciiTheme="minorHAnsi" w:hAnsiTheme="minorHAnsi"/>
              <w:noProof/>
            </w:rPr>
          </w:pPr>
          <w:hyperlink w:anchor="_Toc362873946" w:history="1">
            <w:r w:rsidR="00FB5A0A" w:rsidRPr="0099706C">
              <w:rPr>
                <w:rStyle w:val="Hyperlink"/>
                <w:noProof/>
              </w:rPr>
              <w:t>Alcohol Indicators</w:t>
            </w:r>
            <w:r w:rsidR="00FB5A0A">
              <w:rPr>
                <w:noProof/>
                <w:webHidden/>
              </w:rPr>
              <w:tab/>
            </w:r>
            <w:r w:rsidR="00DD1BE8">
              <w:rPr>
                <w:noProof/>
                <w:webHidden/>
              </w:rPr>
              <w:fldChar w:fldCharType="begin"/>
            </w:r>
            <w:r w:rsidR="00FB5A0A">
              <w:rPr>
                <w:noProof/>
                <w:webHidden/>
              </w:rPr>
              <w:instrText xml:space="preserve"> PAGEREF _Toc362873946 \h </w:instrText>
            </w:r>
            <w:r w:rsidR="00DD1BE8">
              <w:rPr>
                <w:noProof/>
                <w:webHidden/>
              </w:rPr>
            </w:r>
            <w:r w:rsidR="00DD1BE8">
              <w:rPr>
                <w:noProof/>
                <w:webHidden/>
              </w:rPr>
              <w:fldChar w:fldCharType="separate"/>
            </w:r>
            <w:r>
              <w:rPr>
                <w:noProof/>
                <w:webHidden/>
              </w:rPr>
              <w:t>8</w:t>
            </w:r>
            <w:r w:rsidR="00DD1BE8">
              <w:rPr>
                <w:noProof/>
                <w:webHidden/>
              </w:rPr>
              <w:fldChar w:fldCharType="end"/>
            </w:r>
          </w:hyperlink>
        </w:p>
        <w:p w:rsidR="00FB5A0A" w:rsidRDefault="00205C46">
          <w:pPr>
            <w:pStyle w:val="TOC3"/>
            <w:tabs>
              <w:tab w:val="right" w:leader="dot" w:pos="9926"/>
            </w:tabs>
            <w:rPr>
              <w:rFonts w:asciiTheme="minorHAnsi" w:hAnsiTheme="minorHAnsi"/>
              <w:noProof/>
            </w:rPr>
          </w:pPr>
          <w:hyperlink w:anchor="_Toc362873947" w:history="1">
            <w:r w:rsidR="00FB5A0A" w:rsidRPr="0099706C">
              <w:rPr>
                <w:rStyle w:val="Hyperlink"/>
                <w:noProof/>
              </w:rPr>
              <w:t>Youth Alcohol Indicators</w:t>
            </w:r>
            <w:r w:rsidR="00FB5A0A">
              <w:rPr>
                <w:noProof/>
                <w:webHidden/>
              </w:rPr>
              <w:tab/>
            </w:r>
            <w:r w:rsidR="00DD1BE8">
              <w:rPr>
                <w:noProof/>
                <w:webHidden/>
              </w:rPr>
              <w:fldChar w:fldCharType="begin"/>
            </w:r>
            <w:r w:rsidR="00FB5A0A">
              <w:rPr>
                <w:noProof/>
                <w:webHidden/>
              </w:rPr>
              <w:instrText xml:space="preserve"> PAGEREF _Toc362873947 \h </w:instrText>
            </w:r>
            <w:r w:rsidR="00DD1BE8">
              <w:rPr>
                <w:noProof/>
                <w:webHidden/>
              </w:rPr>
            </w:r>
            <w:r w:rsidR="00DD1BE8">
              <w:rPr>
                <w:noProof/>
                <w:webHidden/>
              </w:rPr>
              <w:fldChar w:fldCharType="separate"/>
            </w:r>
            <w:r>
              <w:rPr>
                <w:noProof/>
                <w:webHidden/>
              </w:rPr>
              <w:t>8</w:t>
            </w:r>
            <w:r w:rsidR="00DD1BE8">
              <w:rPr>
                <w:noProof/>
                <w:webHidden/>
              </w:rPr>
              <w:fldChar w:fldCharType="end"/>
            </w:r>
          </w:hyperlink>
        </w:p>
        <w:p w:rsidR="00FB5A0A" w:rsidRDefault="00205C46">
          <w:pPr>
            <w:pStyle w:val="TOC3"/>
            <w:tabs>
              <w:tab w:val="right" w:leader="dot" w:pos="9926"/>
            </w:tabs>
            <w:rPr>
              <w:rFonts w:asciiTheme="minorHAnsi" w:hAnsiTheme="minorHAnsi"/>
              <w:noProof/>
            </w:rPr>
          </w:pPr>
          <w:hyperlink w:anchor="_Toc362873948" w:history="1">
            <w:r w:rsidR="00FB5A0A" w:rsidRPr="0099706C">
              <w:rPr>
                <w:rStyle w:val="Hyperlink"/>
                <w:noProof/>
              </w:rPr>
              <w:t>Adult Alcohol Indicators</w:t>
            </w:r>
            <w:r w:rsidR="00FB5A0A">
              <w:rPr>
                <w:noProof/>
                <w:webHidden/>
              </w:rPr>
              <w:tab/>
            </w:r>
            <w:r w:rsidR="00DD1BE8">
              <w:rPr>
                <w:noProof/>
                <w:webHidden/>
              </w:rPr>
              <w:fldChar w:fldCharType="begin"/>
            </w:r>
            <w:r w:rsidR="00FB5A0A">
              <w:rPr>
                <w:noProof/>
                <w:webHidden/>
              </w:rPr>
              <w:instrText xml:space="preserve"> PAGEREF _Toc362873948 \h </w:instrText>
            </w:r>
            <w:r w:rsidR="00DD1BE8">
              <w:rPr>
                <w:noProof/>
                <w:webHidden/>
              </w:rPr>
            </w:r>
            <w:r w:rsidR="00DD1BE8">
              <w:rPr>
                <w:noProof/>
                <w:webHidden/>
              </w:rPr>
              <w:fldChar w:fldCharType="separate"/>
            </w:r>
            <w:r>
              <w:rPr>
                <w:noProof/>
                <w:webHidden/>
              </w:rPr>
              <w:t>12</w:t>
            </w:r>
            <w:r w:rsidR="00DD1BE8">
              <w:rPr>
                <w:noProof/>
                <w:webHidden/>
              </w:rPr>
              <w:fldChar w:fldCharType="end"/>
            </w:r>
          </w:hyperlink>
        </w:p>
        <w:p w:rsidR="00FB5A0A" w:rsidRDefault="00205C46">
          <w:pPr>
            <w:pStyle w:val="TOC2"/>
            <w:tabs>
              <w:tab w:val="right" w:leader="dot" w:pos="9926"/>
            </w:tabs>
            <w:rPr>
              <w:rFonts w:asciiTheme="minorHAnsi" w:hAnsiTheme="minorHAnsi"/>
              <w:noProof/>
            </w:rPr>
          </w:pPr>
          <w:hyperlink w:anchor="_Toc362873949" w:history="1">
            <w:r w:rsidR="00FB5A0A" w:rsidRPr="0099706C">
              <w:rPr>
                <w:rStyle w:val="Hyperlink"/>
                <w:noProof/>
              </w:rPr>
              <w:t>Tobacco Indicators</w:t>
            </w:r>
            <w:r w:rsidR="00FB5A0A">
              <w:rPr>
                <w:noProof/>
                <w:webHidden/>
              </w:rPr>
              <w:tab/>
            </w:r>
            <w:r w:rsidR="00DD1BE8">
              <w:rPr>
                <w:noProof/>
                <w:webHidden/>
              </w:rPr>
              <w:fldChar w:fldCharType="begin"/>
            </w:r>
            <w:r w:rsidR="00FB5A0A">
              <w:rPr>
                <w:noProof/>
                <w:webHidden/>
              </w:rPr>
              <w:instrText xml:space="preserve"> PAGEREF _Toc362873949 \h </w:instrText>
            </w:r>
            <w:r w:rsidR="00DD1BE8">
              <w:rPr>
                <w:noProof/>
                <w:webHidden/>
              </w:rPr>
            </w:r>
            <w:r w:rsidR="00DD1BE8">
              <w:rPr>
                <w:noProof/>
                <w:webHidden/>
              </w:rPr>
              <w:fldChar w:fldCharType="separate"/>
            </w:r>
            <w:r>
              <w:rPr>
                <w:noProof/>
                <w:webHidden/>
              </w:rPr>
              <w:t>18</w:t>
            </w:r>
            <w:r w:rsidR="00DD1BE8">
              <w:rPr>
                <w:noProof/>
                <w:webHidden/>
              </w:rPr>
              <w:fldChar w:fldCharType="end"/>
            </w:r>
          </w:hyperlink>
        </w:p>
        <w:p w:rsidR="00FB5A0A" w:rsidRDefault="00205C46">
          <w:pPr>
            <w:pStyle w:val="TOC3"/>
            <w:tabs>
              <w:tab w:val="right" w:leader="dot" w:pos="9926"/>
            </w:tabs>
            <w:rPr>
              <w:rFonts w:asciiTheme="minorHAnsi" w:hAnsiTheme="minorHAnsi"/>
              <w:noProof/>
            </w:rPr>
          </w:pPr>
          <w:hyperlink w:anchor="_Toc362873950" w:history="1">
            <w:r w:rsidR="00FB5A0A" w:rsidRPr="0099706C">
              <w:rPr>
                <w:rStyle w:val="Hyperlink"/>
                <w:noProof/>
              </w:rPr>
              <w:t>Youth Tobacco Indicators</w:t>
            </w:r>
            <w:r w:rsidR="00FB5A0A">
              <w:rPr>
                <w:noProof/>
                <w:webHidden/>
              </w:rPr>
              <w:tab/>
            </w:r>
            <w:r w:rsidR="00DD1BE8">
              <w:rPr>
                <w:noProof/>
                <w:webHidden/>
              </w:rPr>
              <w:fldChar w:fldCharType="begin"/>
            </w:r>
            <w:r w:rsidR="00FB5A0A">
              <w:rPr>
                <w:noProof/>
                <w:webHidden/>
              </w:rPr>
              <w:instrText xml:space="preserve"> PAGEREF _Toc362873950 \h </w:instrText>
            </w:r>
            <w:r w:rsidR="00DD1BE8">
              <w:rPr>
                <w:noProof/>
                <w:webHidden/>
              </w:rPr>
            </w:r>
            <w:r w:rsidR="00DD1BE8">
              <w:rPr>
                <w:noProof/>
                <w:webHidden/>
              </w:rPr>
              <w:fldChar w:fldCharType="separate"/>
            </w:r>
            <w:r>
              <w:rPr>
                <w:noProof/>
                <w:webHidden/>
              </w:rPr>
              <w:t>18</w:t>
            </w:r>
            <w:r w:rsidR="00DD1BE8">
              <w:rPr>
                <w:noProof/>
                <w:webHidden/>
              </w:rPr>
              <w:fldChar w:fldCharType="end"/>
            </w:r>
          </w:hyperlink>
        </w:p>
        <w:p w:rsidR="00FB5A0A" w:rsidRDefault="00205C46">
          <w:pPr>
            <w:pStyle w:val="TOC3"/>
            <w:tabs>
              <w:tab w:val="right" w:leader="dot" w:pos="9926"/>
            </w:tabs>
            <w:rPr>
              <w:rFonts w:asciiTheme="minorHAnsi" w:hAnsiTheme="minorHAnsi"/>
              <w:noProof/>
            </w:rPr>
          </w:pPr>
          <w:hyperlink w:anchor="_Toc362873951" w:history="1">
            <w:r w:rsidR="00FB5A0A" w:rsidRPr="0099706C">
              <w:rPr>
                <w:rStyle w:val="Hyperlink"/>
                <w:noProof/>
              </w:rPr>
              <w:t>Adult Tobacco Indicators</w:t>
            </w:r>
            <w:r w:rsidR="00FB5A0A">
              <w:rPr>
                <w:noProof/>
                <w:webHidden/>
              </w:rPr>
              <w:tab/>
            </w:r>
            <w:r w:rsidR="00DD1BE8">
              <w:rPr>
                <w:noProof/>
                <w:webHidden/>
              </w:rPr>
              <w:fldChar w:fldCharType="begin"/>
            </w:r>
            <w:r w:rsidR="00FB5A0A">
              <w:rPr>
                <w:noProof/>
                <w:webHidden/>
              </w:rPr>
              <w:instrText xml:space="preserve"> PAGEREF _Toc362873951 \h </w:instrText>
            </w:r>
            <w:r w:rsidR="00DD1BE8">
              <w:rPr>
                <w:noProof/>
                <w:webHidden/>
              </w:rPr>
            </w:r>
            <w:r w:rsidR="00DD1BE8">
              <w:rPr>
                <w:noProof/>
                <w:webHidden/>
              </w:rPr>
              <w:fldChar w:fldCharType="separate"/>
            </w:r>
            <w:r>
              <w:rPr>
                <w:noProof/>
                <w:webHidden/>
              </w:rPr>
              <w:t>21</w:t>
            </w:r>
            <w:r w:rsidR="00DD1BE8">
              <w:rPr>
                <w:noProof/>
                <w:webHidden/>
              </w:rPr>
              <w:fldChar w:fldCharType="end"/>
            </w:r>
          </w:hyperlink>
        </w:p>
        <w:p w:rsidR="00FB5A0A" w:rsidRDefault="00205C46">
          <w:pPr>
            <w:pStyle w:val="TOC2"/>
            <w:tabs>
              <w:tab w:val="right" w:leader="dot" w:pos="9926"/>
            </w:tabs>
            <w:rPr>
              <w:rFonts w:asciiTheme="minorHAnsi" w:hAnsiTheme="minorHAnsi"/>
              <w:noProof/>
            </w:rPr>
          </w:pPr>
          <w:hyperlink w:anchor="_Toc362873952" w:history="1">
            <w:r w:rsidR="00FB5A0A" w:rsidRPr="0099706C">
              <w:rPr>
                <w:rStyle w:val="Hyperlink"/>
                <w:noProof/>
              </w:rPr>
              <w:t>Marijuana Indicators</w:t>
            </w:r>
            <w:r w:rsidR="00FB5A0A">
              <w:rPr>
                <w:noProof/>
                <w:webHidden/>
              </w:rPr>
              <w:tab/>
            </w:r>
            <w:r w:rsidR="00DD1BE8">
              <w:rPr>
                <w:noProof/>
                <w:webHidden/>
              </w:rPr>
              <w:fldChar w:fldCharType="begin"/>
            </w:r>
            <w:r w:rsidR="00FB5A0A">
              <w:rPr>
                <w:noProof/>
                <w:webHidden/>
              </w:rPr>
              <w:instrText xml:space="preserve"> PAGEREF _Toc362873952 \h </w:instrText>
            </w:r>
            <w:r w:rsidR="00DD1BE8">
              <w:rPr>
                <w:noProof/>
                <w:webHidden/>
              </w:rPr>
            </w:r>
            <w:r w:rsidR="00DD1BE8">
              <w:rPr>
                <w:noProof/>
                <w:webHidden/>
              </w:rPr>
              <w:fldChar w:fldCharType="separate"/>
            </w:r>
            <w:r>
              <w:rPr>
                <w:noProof/>
                <w:webHidden/>
              </w:rPr>
              <w:t>24</w:t>
            </w:r>
            <w:r w:rsidR="00DD1BE8">
              <w:rPr>
                <w:noProof/>
                <w:webHidden/>
              </w:rPr>
              <w:fldChar w:fldCharType="end"/>
            </w:r>
          </w:hyperlink>
        </w:p>
        <w:p w:rsidR="00FB5A0A" w:rsidRDefault="00205C46">
          <w:pPr>
            <w:pStyle w:val="TOC3"/>
            <w:tabs>
              <w:tab w:val="right" w:leader="dot" w:pos="9926"/>
            </w:tabs>
            <w:rPr>
              <w:rFonts w:asciiTheme="minorHAnsi" w:hAnsiTheme="minorHAnsi"/>
              <w:noProof/>
            </w:rPr>
          </w:pPr>
          <w:hyperlink w:anchor="_Toc362873953" w:history="1">
            <w:r w:rsidR="00FB5A0A" w:rsidRPr="0099706C">
              <w:rPr>
                <w:rStyle w:val="Hyperlink"/>
                <w:noProof/>
              </w:rPr>
              <w:t>Youth Marijuana Indicators</w:t>
            </w:r>
            <w:r w:rsidR="00FB5A0A">
              <w:rPr>
                <w:noProof/>
                <w:webHidden/>
              </w:rPr>
              <w:tab/>
            </w:r>
            <w:r w:rsidR="00DD1BE8">
              <w:rPr>
                <w:noProof/>
                <w:webHidden/>
              </w:rPr>
              <w:fldChar w:fldCharType="begin"/>
            </w:r>
            <w:r w:rsidR="00FB5A0A">
              <w:rPr>
                <w:noProof/>
                <w:webHidden/>
              </w:rPr>
              <w:instrText xml:space="preserve"> PAGEREF _Toc362873953 \h </w:instrText>
            </w:r>
            <w:r w:rsidR="00DD1BE8">
              <w:rPr>
                <w:noProof/>
                <w:webHidden/>
              </w:rPr>
            </w:r>
            <w:r w:rsidR="00DD1BE8">
              <w:rPr>
                <w:noProof/>
                <w:webHidden/>
              </w:rPr>
              <w:fldChar w:fldCharType="separate"/>
            </w:r>
            <w:r>
              <w:rPr>
                <w:noProof/>
                <w:webHidden/>
              </w:rPr>
              <w:t>24</w:t>
            </w:r>
            <w:r w:rsidR="00DD1BE8">
              <w:rPr>
                <w:noProof/>
                <w:webHidden/>
              </w:rPr>
              <w:fldChar w:fldCharType="end"/>
            </w:r>
          </w:hyperlink>
        </w:p>
        <w:p w:rsidR="00FB5A0A" w:rsidRDefault="00205C46">
          <w:pPr>
            <w:pStyle w:val="TOC3"/>
            <w:tabs>
              <w:tab w:val="right" w:leader="dot" w:pos="9926"/>
            </w:tabs>
            <w:rPr>
              <w:rFonts w:asciiTheme="minorHAnsi" w:hAnsiTheme="minorHAnsi"/>
              <w:noProof/>
            </w:rPr>
          </w:pPr>
          <w:hyperlink w:anchor="_Toc362873954" w:history="1">
            <w:r w:rsidR="00FB5A0A" w:rsidRPr="0099706C">
              <w:rPr>
                <w:rStyle w:val="Hyperlink"/>
                <w:noProof/>
              </w:rPr>
              <w:t>Adult Marijuana Indicators</w:t>
            </w:r>
            <w:r w:rsidR="00FB5A0A">
              <w:rPr>
                <w:noProof/>
                <w:webHidden/>
              </w:rPr>
              <w:tab/>
            </w:r>
            <w:r w:rsidR="00DD1BE8">
              <w:rPr>
                <w:noProof/>
                <w:webHidden/>
              </w:rPr>
              <w:fldChar w:fldCharType="begin"/>
            </w:r>
            <w:r w:rsidR="00FB5A0A">
              <w:rPr>
                <w:noProof/>
                <w:webHidden/>
              </w:rPr>
              <w:instrText xml:space="preserve"> PAGEREF _Toc362873954 \h </w:instrText>
            </w:r>
            <w:r w:rsidR="00DD1BE8">
              <w:rPr>
                <w:noProof/>
                <w:webHidden/>
              </w:rPr>
            </w:r>
            <w:r w:rsidR="00DD1BE8">
              <w:rPr>
                <w:noProof/>
                <w:webHidden/>
              </w:rPr>
              <w:fldChar w:fldCharType="separate"/>
            </w:r>
            <w:r>
              <w:rPr>
                <w:noProof/>
                <w:webHidden/>
              </w:rPr>
              <w:t>25</w:t>
            </w:r>
            <w:r w:rsidR="00DD1BE8">
              <w:rPr>
                <w:noProof/>
                <w:webHidden/>
              </w:rPr>
              <w:fldChar w:fldCharType="end"/>
            </w:r>
          </w:hyperlink>
        </w:p>
        <w:p w:rsidR="00FB5A0A" w:rsidRDefault="00205C46">
          <w:pPr>
            <w:pStyle w:val="TOC1"/>
            <w:tabs>
              <w:tab w:val="right" w:leader="dot" w:pos="9926"/>
            </w:tabs>
            <w:rPr>
              <w:rFonts w:asciiTheme="minorHAnsi" w:hAnsiTheme="minorHAnsi"/>
              <w:noProof/>
            </w:rPr>
          </w:pPr>
          <w:hyperlink w:anchor="_Toc362873955" w:history="1">
            <w:r w:rsidR="00FB5A0A" w:rsidRPr="0099706C">
              <w:rPr>
                <w:rStyle w:val="Hyperlink"/>
                <w:noProof/>
              </w:rPr>
              <w:t>Behavioral Health Indicators</w:t>
            </w:r>
            <w:r w:rsidR="00FB5A0A">
              <w:rPr>
                <w:noProof/>
                <w:webHidden/>
              </w:rPr>
              <w:tab/>
            </w:r>
            <w:r w:rsidR="00DD1BE8">
              <w:rPr>
                <w:noProof/>
                <w:webHidden/>
              </w:rPr>
              <w:fldChar w:fldCharType="begin"/>
            </w:r>
            <w:r w:rsidR="00FB5A0A">
              <w:rPr>
                <w:noProof/>
                <w:webHidden/>
              </w:rPr>
              <w:instrText xml:space="preserve"> PAGEREF _Toc362873955 \h </w:instrText>
            </w:r>
            <w:r w:rsidR="00DD1BE8">
              <w:rPr>
                <w:noProof/>
                <w:webHidden/>
              </w:rPr>
            </w:r>
            <w:r w:rsidR="00DD1BE8">
              <w:rPr>
                <w:noProof/>
                <w:webHidden/>
              </w:rPr>
              <w:fldChar w:fldCharType="separate"/>
            </w:r>
            <w:r>
              <w:rPr>
                <w:noProof/>
                <w:webHidden/>
              </w:rPr>
              <w:t>27</w:t>
            </w:r>
            <w:r w:rsidR="00DD1BE8">
              <w:rPr>
                <w:noProof/>
                <w:webHidden/>
              </w:rPr>
              <w:fldChar w:fldCharType="end"/>
            </w:r>
          </w:hyperlink>
        </w:p>
        <w:p w:rsidR="00FB5A0A" w:rsidRDefault="00205C46">
          <w:pPr>
            <w:pStyle w:val="TOC2"/>
            <w:tabs>
              <w:tab w:val="right" w:leader="dot" w:pos="9926"/>
            </w:tabs>
            <w:rPr>
              <w:rFonts w:asciiTheme="minorHAnsi" w:hAnsiTheme="minorHAnsi"/>
              <w:noProof/>
            </w:rPr>
          </w:pPr>
          <w:hyperlink w:anchor="_Toc362873956" w:history="1">
            <w:r w:rsidR="00FB5A0A" w:rsidRPr="0099706C">
              <w:rPr>
                <w:rStyle w:val="Hyperlink"/>
                <w:noProof/>
              </w:rPr>
              <w:t>Mental Health</w:t>
            </w:r>
            <w:r w:rsidR="00FB5A0A">
              <w:rPr>
                <w:noProof/>
                <w:webHidden/>
              </w:rPr>
              <w:tab/>
            </w:r>
            <w:r w:rsidR="00DD1BE8">
              <w:rPr>
                <w:noProof/>
                <w:webHidden/>
              </w:rPr>
              <w:fldChar w:fldCharType="begin"/>
            </w:r>
            <w:r w:rsidR="00FB5A0A">
              <w:rPr>
                <w:noProof/>
                <w:webHidden/>
              </w:rPr>
              <w:instrText xml:space="preserve"> PAGEREF _Toc362873956 \h </w:instrText>
            </w:r>
            <w:r w:rsidR="00DD1BE8">
              <w:rPr>
                <w:noProof/>
                <w:webHidden/>
              </w:rPr>
            </w:r>
            <w:r w:rsidR="00DD1BE8">
              <w:rPr>
                <w:noProof/>
                <w:webHidden/>
              </w:rPr>
              <w:fldChar w:fldCharType="separate"/>
            </w:r>
            <w:r>
              <w:rPr>
                <w:noProof/>
                <w:webHidden/>
              </w:rPr>
              <w:t>27</w:t>
            </w:r>
            <w:r w:rsidR="00DD1BE8">
              <w:rPr>
                <w:noProof/>
                <w:webHidden/>
              </w:rPr>
              <w:fldChar w:fldCharType="end"/>
            </w:r>
          </w:hyperlink>
        </w:p>
        <w:p w:rsidR="00FB5A0A" w:rsidRDefault="00205C46">
          <w:pPr>
            <w:pStyle w:val="TOC3"/>
            <w:tabs>
              <w:tab w:val="right" w:leader="dot" w:pos="9926"/>
            </w:tabs>
            <w:rPr>
              <w:rFonts w:asciiTheme="minorHAnsi" w:hAnsiTheme="minorHAnsi"/>
              <w:noProof/>
            </w:rPr>
          </w:pPr>
          <w:hyperlink w:anchor="_Toc362873957" w:history="1">
            <w:r w:rsidR="00FB5A0A" w:rsidRPr="0099706C">
              <w:rPr>
                <w:rStyle w:val="Hyperlink"/>
                <w:noProof/>
              </w:rPr>
              <w:t>Youth Mental Health Indicators</w:t>
            </w:r>
            <w:r w:rsidR="00FB5A0A">
              <w:rPr>
                <w:noProof/>
                <w:webHidden/>
              </w:rPr>
              <w:tab/>
            </w:r>
            <w:r w:rsidR="00DD1BE8">
              <w:rPr>
                <w:noProof/>
                <w:webHidden/>
              </w:rPr>
              <w:fldChar w:fldCharType="begin"/>
            </w:r>
            <w:r w:rsidR="00FB5A0A">
              <w:rPr>
                <w:noProof/>
                <w:webHidden/>
              </w:rPr>
              <w:instrText xml:space="preserve"> PAGEREF _Toc362873957 \h </w:instrText>
            </w:r>
            <w:r w:rsidR="00DD1BE8">
              <w:rPr>
                <w:noProof/>
                <w:webHidden/>
              </w:rPr>
            </w:r>
            <w:r w:rsidR="00DD1BE8">
              <w:rPr>
                <w:noProof/>
                <w:webHidden/>
              </w:rPr>
              <w:fldChar w:fldCharType="separate"/>
            </w:r>
            <w:r>
              <w:rPr>
                <w:noProof/>
                <w:webHidden/>
              </w:rPr>
              <w:t>27</w:t>
            </w:r>
            <w:r w:rsidR="00DD1BE8">
              <w:rPr>
                <w:noProof/>
                <w:webHidden/>
              </w:rPr>
              <w:fldChar w:fldCharType="end"/>
            </w:r>
          </w:hyperlink>
        </w:p>
        <w:p w:rsidR="00FB5A0A" w:rsidRDefault="00205C46">
          <w:pPr>
            <w:pStyle w:val="TOC3"/>
            <w:tabs>
              <w:tab w:val="right" w:leader="dot" w:pos="9926"/>
            </w:tabs>
            <w:rPr>
              <w:rFonts w:asciiTheme="minorHAnsi" w:hAnsiTheme="minorHAnsi"/>
              <w:noProof/>
            </w:rPr>
          </w:pPr>
          <w:hyperlink w:anchor="_Toc362873958" w:history="1">
            <w:r w:rsidR="00FB5A0A" w:rsidRPr="0099706C">
              <w:rPr>
                <w:rStyle w:val="Hyperlink"/>
                <w:noProof/>
              </w:rPr>
              <w:t>Adult Mental Health Indicators</w:t>
            </w:r>
            <w:r w:rsidR="00FB5A0A">
              <w:rPr>
                <w:noProof/>
                <w:webHidden/>
              </w:rPr>
              <w:tab/>
            </w:r>
            <w:r w:rsidR="00DD1BE8">
              <w:rPr>
                <w:noProof/>
                <w:webHidden/>
              </w:rPr>
              <w:fldChar w:fldCharType="begin"/>
            </w:r>
            <w:r w:rsidR="00FB5A0A">
              <w:rPr>
                <w:noProof/>
                <w:webHidden/>
              </w:rPr>
              <w:instrText xml:space="preserve"> PAGEREF _Toc362873958 \h </w:instrText>
            </w:r>
            <w:r w:rsidR="00DD1BE8">
              <w:rPr>
                <w:noProof/>
                <w:webHidden/>
              </w:rPr>
            </w:r>
            <w:r w:rsidR="00DD1BE8">
              <w:rPr>
                <w:noProof/>
                <w:webHidden/>
              </w:rPr>
              <w:fldChar w:fldCharType="separate"/>
            </w:r>
            <w:r>
              <w:rPr>
                <w:noProof/>
                <w:webHidden/>
              </w:rPr>
              <w:t>31</w:t>
            </w:r>
            <w:r w:rsidR="00DD1BE8">
              <w:rPr>
                <w:noProof/>
                <w:webHidden/>
              </w:rPr>
              <w:fldChar w:fldCharType="end"/>
            </w:r>
          </w:hyperlink>
        </w:p>
        <w:p w:rsidR="00FB5A0A" w:rsidRDefault="00205C46">
          <w:pPr>
            <w:pStyle w:val="TOC2"/>
            <w:tabs>
              <w:tab w:val="right" w:leader="dot" w:pos="9926"/>
            </w:tabs>
            <w:rPr>
              <w:rFonts w:asciiTheme="minorHAnsi" w:hAnsiTheme="minorHAnsi"/>
              <w:noProof/>
            </w:rPr>
          </w:pPr>
          <w:hyperlink w:anchor="_Toc362873959" w:history="1">
            <w:r w:rsidR="00FB5A0A" w:rsidRPr="0099706C">
              <w:rPr>
                <w:rStyle w:val="Hyperlink"/>
                <w:noProof/>
              </w:rPr>
              <w:t>Suicide</w:t>
            </w:r>
            <w:r w:rsidR="00FB5A0A">
              <w:rPr>
                <w:noProof/>
                <w:webHidden/>
              </w:rPr>
              <w:tab/>
            </w:r>
            <w:r w:rsidR="00DD1BE8">
              <w:rPr>
                <w:noProof/>
                <w:webHidden/>
              </w:rPr>
              <w:fldChar w:fldCharType="begin"/>
            </w:r>
            <w:r w:rsidR="00FB5A0A">
              <w:rPr>
                <w:noProof/>
                <w:webHidden/>
              </w:rPr>
              <w:instrText xml:space="preserve"> PAGEREF _Toc362873959 \h </w:instrText>
            </w:r>
            <w:r w:rsidR="00DD1BE8">
              <w:rPr>
                <w:noProof/>
                <w:webHidden/>
              </w:rPr>
            </w:r>
            <w:r w:rsidR="00DD1BE8">
              <w:rPr>
                <w:noProof/>
                <w:webHidden/>
              </w:rPr>
              <w:fldChar w:fldCharType="separate"/>
            </w:r>
            <w:r>
              <w:rPr>
                <w:noProof/>
                <w:webHidden/>
              </w:rPr>
              <w:t>32</w:t>
            </w:r>
            <w:r w:rsidR="00DD1BE8">
              <w:rPr>
                <w:noProof/>
                <w:webHidden/>
              </w:rPr>
              <w:fldChar w:fldCharType="end"/>
            </w:r>
          </w:hyperlink>
        </w:p>
        <w:p w:rsidR="00FB5A0A" w:rsidRDefault="00205C46">
          <w:pPr>
            <w:pStyle w:val="TOC3"/>
            <w:tabs>
              <w:tab w:val="right" w:leader="dot" w:pos="9926"/>
            </w:tabs>
            <w:rPr>
              <w:rFonts w:asciiTheme="minorHAnsi" w:hAnsiTheme="minorHAnsi"/>
              <w:noProof/>
            </w:rPr>
          </w:pPr>
          <w:hyperlink w:anchor="_Toc362873960" w:history="1">
            <w:r w:rsidR="00FB5A0A" w:rsidRPr="0099706C">
              <w:rPr>
                <w:rStyle w:val="Hyperlink"/>
                <w:noProof/>
              </w:rPr>
              <w:t>Youth Suicide Indicators</w:t>
            </w:r>
            <w:r w:rsidR="00FB5A0A">
              <w:rPr>
                <w:noProof/>
                <w:webHidden/>
              </w:rPr>
              <w:tab/>
            </w:r>
            <w:r w:rsidR="00DD1BE8">
              <w:rPr>
                <w:noProof/>
                <w:webHidden/>
              </w:rPr>
              <w:fldChar w:fldCharType="begin"/>
            </w:r>
            <w:r w:rsidR="00FB5A0A">
              <w:rPr>
                <w:noProof/>
                <w:webHidden/>
              </w:rPr>
              <w:instrText xml:space="preserve"> PAGEREF _Toc362873960 \h </w:instrText>
            </w:r>
            <w:r w:rsidR="00DD1BE8">
              <w:rPr>
                <w:noProof/>
                <w:webHidden/>
              </w:rPr>
            </w:r>
            <w:r w:rsidR="00DD1BE8">
              <w:rPr>
                <w:noProof/>
                <w:webHidden/>
              </w:rPr>
              <w:fldChar w:fldCharType="separate"/>
            </w:r>
            <w:r>
              <w:rPr>
                <w:noProof/>
                <w:webHidden/>
              </w:rPr>
              <w:t>32</w:t>
            </w:r>
            <w:r w:rsidR="00DD1BE8">
              <w:rPr>
                <w:noProof/>
                <w:webHidden/>
              </w:rPr>
              <w:fldChar w:fldCharType="end"/>
            </w:r>
          </w:hyperlink>
        </w:p>
        <w:p w:rsidR="00FB5A0A" w:rsidRDefault="00205C46">
          <w:pPr>
            <w:pStyle w:val="TOC3"/>
            <w:tabs>
              <w:tab w:val="right" w:leader="dot" w:pos="9926"/>
            </w:tabs>
            <w:rPr>
              <w:rFonts w:asciiTheme="minorHAnsi" w:hAnsiTheme="minorHAnsi"/>
              <w:noProof/>
            </w:rPr>
          </w:pPr>
          <w:hyperlink w:anchor="_Toc362873961" w:history="1">
            <w:r w:rsidR="00FB5A0A" w:rsidRPr="0099706C">
              <w:rPr>
                <w:rStyle w:val="Hyperlink"/>
                <w:noProof/>
              </w:rPr>
              <w:t>Adult Suicide Indicators</w:t>
            </w:r>
            <w:r w:rsidR="00FB5A0A">
              <w:rPr>
                <w:noProof/>
                <w:webHidden/>
              </w:rPr>
              <w:tab/>
            </w:r>
            <w:r w:rsidR="00DD1BE8">
              <w:rPr>
                <w:noProof/>
                <w:webHidden/>
              </w:rPr>
              <w:fldChar w:fldCharType="begin"/>
            </w:r>
            <w:r w:rsidR="00FB5A0A">
              <w:rPr>
                <w:noProof/>
                <w:webHidden/>
              </w:rPr>
              <w:instrText xml:space="preserve"> PAGEREF _Toc362873961 \h </w:instrText>
            </w:r>
            <w:r w:rsidR="00DD1BE8">
              <w:rPr>
                <w:noProof/>
                <w:webHidden/>
              </w:rPr>
            </w:r>
            <w:r w:rsidR="00DD1BE8">
              <w:rPr>
                <w:noProof/>
                <w:webHidden/>
              </w:rPr>
              <w:fldChar w:fldCharType="separate"/>
            </w:r>
            <w:r>
              <w:rPr>
                <w:noProof/>
                <w:webHidden/>
              </w:rPr>
              <w:t>33</w:t>
            </w:r>
            <w:r w:rsidR="00DD1BE8">
              <w:rPr>
                <w:noProof/>
                <w:webHidden/>
              </w:rPr>
              <w:fldChar w:fldCharType="end"/>
            </w:r>
          </w:hyperlink>
        </w:p>
        <w:p w:rsidR="00FB5A0A" w:rsidRDefault="00205C46">
          <w:pPr>
            <w:pStyle w:val="TOC1"/>
            <w:tabs>
              <w:tab w:val="right" w:leader="dot" w:pos="9926"/>
            </w:tabs>
            <w:rPr>
              <w:rFonts w:asciiTheme="minorHAnsi" w:hAnsiTheme="minorHAnsi"/>
              <w:noProof/>
            </w:rPr>
          </w:pPr>
          <w:hyperlink w:anchor="_Toc362873962" w:history="1">
            <w:r w:rsidR="00FB5A0A" w:rsidRPr="0099706C">
              <w:rPr>
                <w:rStyle w:val="Hyperlink"/>
                <w:noProof/>
              </w:rPr>
              <w:t>Summary and Conclusion</w:t>
            </w:r>
            <w:r w:rsidR="00FB5A0A">
              <w:rPr>
                <w:noProof/>
                <w:webHidden/>
              </w:rPr>
              <w:tab/>
            </w:r>
            <w:r w:rsidR="00DD1BE8">
              <w:rPr>
                <w:noProof/>
                <w:webHidden/>
              </w:rPr>
              <w:fldChar w:fldCharType="begin"/>
            </w:r>
            <w:r w:rsidR="00FB5A0A">
              <w:rPr>
                <w:noProof/>
                <w:webHidden/>
              </w:rPr>
              <w:instrText xml:space="preserve"> PAGEREF _Toc362873962 \h </w:instrText>
            </w:r>
            <w:r w:rsidR="00DD1BE8">
              <w:rPr>
                <w:noProof/>
                <w:webHidden/>
              </w:rPr>
            </w:r>
            <w:r w:rsidR="00DD1BE8">
              <w:rPr>
                <w:noProof/>
                <w:webHidden/>
              </w:rPr>
              <w:fldChar w:fldCharType="separate"/>
            </w:r>
            <w:r>
              <w:rPr>
                <w:noProof/>
                <w:webHidden/>
              </w:rPr>
              <w:t>34</w:t>
            </w:r>
            <w:r w:rsidR="00DD1BE8">
              <w:rPr>
                <w:noProof/>
                <w:webHidden/>
              </w:rPr>
              <w:fldChar w:fldCharType="end"/>
            </w:r>
          </w:hyperlink>
        </w:p>
        <w:p w:rsidR="00FB5A0A" w:rsidRDefault="00205C46">
          <w:pPr>
            <w:pStyle w:val="TOC1"/>
            <w:tabs>
              <w:tab w:val="right" w:leader="dot" w:pos="9926"/>
            </w:tabs>
            <w:rPr>
              <w:rFonts w:asciiTheme="minorHAnsi" w:hAnsiTheme="minorHAnsi"/>
              <w:noProof/>
            </w:rPr>
          </w:pPr>
          <w:hyperlink w:anchor="_Toc362873963" w:history="1">
            <w:r w:rsidR="00FB5A0A" w:rsidRPr="0099706C">
              <w:rPr>
                <w:rStyle w:val="Hyperlink"/>
                <w:noProof/>
              </w:rPr>
              <w:t>Appendix A: Complete List of SEW Data Indicators</w:t>
            </w:r>
            <w:r w:rsidR="00FB5A0A">
              <w:rPr>
                <w:noProof/>
                <w:webHidden/>
              </w:rPr>
              <w:tab/>
            </w:r>
            <w:r w:rsidR="00DD1BE8">
              <w:rPr>
                <w:noProof/>
                <w:webHidden/>
              </w:rPr>
              <w:fldChar w:fldCharType="begin"/>
            </w:r>
            <w:r w:rsidR="00FB5A0A">
              <w:rPr>
                <w:noProof/>
                <w:webHidden/>
              </w:rPr>
              <w:instrText xml:space="preserve"> PAGEREF _Toc362873963 \h </w:instrText>
            </w:r>
            <w:r w:rsidR="00DD1BE8">
              <w:rPr>
                <w:noProof/>
                <w:webHidden/>
              </w:rPr>
            </w:r>
            <w:r w:rsidR="00DD1BE8">
              <w:rPr>
                <w:noProof/>
                <w:webHidden/>
              </w:rPr>
              <w:fldChar w:fldCharType="separate"/>
            </w:r>
            <w:r>
              <w:rPr>
                <w:noProof/>
                <w:webHidden/>
              </w:rPr>
              <w:t>35</w:t>
            </w:r>
            <w:r w:rsidR="00DD1BE8">
              <w:rPr>
                <w:noProof/>
                <w:webHidden/>
              </w:rPr>
              <w:fldChar w:fldCharType="end"/>
            </w:r>
          </w:hyperlink>
        </w:p>
        <w:p w:rsidR="00CD7A98" w:rsidRDefault="00DD1BE8">
          <w:r>
            <w:rPr>
              <w:b/>
              <w:bCs/>
              <w:noProof/>
            </w:rPr>
            <w:fldChar w:fldCharType="end"/>
          </w:r>
        </w:p>
      </w:sdtContent>
    </w:sdt>
    <w:p w:rsidR="00826AAD" w:rsidRDefault="00826AAD" w:rsidP="006D1A5D"/>
    <w:p w:rsidR="00AF186C" w:rsidRDefault="00AF186C" w:rsidP="00AF186C">
      <w:pPr>
        <w:pStyle w:val="Heading1"/>
      </w:pPr>
      <w:bookmarkStart w:id="1" w:name="_Toc362873933"/>
      <w:r>
        <w:t>List of Figures</w:t>
      </w:r>
      <w:bookmarkEnd w:id="1"/>
    </w:p>
    <w:p w:rsidR="00FB5A0A" w:rsidRDefault="00DD1BE8">
      <w:pPr>
        <w:pStyle w:val="TableofFigures"/>
        <w:tabs>
          <w:tab w:val="right" w:leader="dot" w:pos="9926"/>
        </w:tabs>
        <w:rPr>
          <w:rFonts w:asciiTheme="minorHAnsi" w:hAnsiTheme="minorHAnsi"/>
          <w:noProof/>
        </w:rPr>
      </w:pPr>
      <w:r>
        <w:fldChar w:fldCharType="begin"/>
      </w:r>
      <w:r w:rsidR="00AF186C">
        <w:instrText xml:space="preserve"> TOC \h \z \c "Figure" </w:instrText>
      </w:r>
      <w:r>
        <w:fldChar w:fldCharType="separate"/>
      </w:r>
      <w:hyperlink w:anchor="_Toc362873964" w:history="1">
        <w:r w:rsidR="00FB5A0A" w:rsidRPr="00214188">
          <w:rPr>
            <w:rStyle w:val="Hyperlink"/>
            <w:noProof/>
          </w:rPr>
          <w:t>Figure 1. Louisiana population characteristics compared to US (Source: 2010 US Census Bureau)</w:t>
        </w:r>
        <w:r w:rsidR="00FB5A0A">
          <w:rPr>
            <w:noProof/>
            <w:webHidden/>
          </w:rPr>
          <w:tab/>
        </w:r>
        <w:r>
          <w:rPr>
            <w:noProof/>
            <w:webHidden/>
          </w:rPr>
          <w:fldChar w:fldCharType="begin"/>
        </w:r>
        <w:r w:rsidR="00FB5A0A">
          <w:rPr>
            <w:noProof/>
            <w:webHidden/>
          </w:rPr>
          <w:instrText xml:space="preserve"> PAGEREF _Toc362873964 \h </w:instrText>
        </w:r>
        <w:r>
          <w:rPr>
            <w:noProof/>
            <w:webHidden/>
          </w:rPr>
        </w:r>
        <w:r>
          <w:rPr>
            <w:noProof/>
            <w:webHidden/>
          </w:rPr>
          <w:fldChar w:fldCharType="separate"/>
        </w:r>
        <w:r w:rsidR="0002537D">
          <w:rPr>
            <w:noProof/>
            <w:webHidden/>
          </w:rPr>
          <w:t>6</w:t>
        </w:r>
        <w:r>
          <w:rPr>
            <w:noProof/>
            <w:webHidden/>
          </w:rPr>
          <w:fldChar w:fldCharType="end"/>
        </w:r>
      </w:hyperlink>
    </w:p>
    <w:p w:rsidR="00FB5A0A" w:rsidRDefault="00205C46">
      <w:pPr>
        <w:pStyle w:val="TableofFigures"/>
        <w:tabs>
          <w:tab w:val="right" w:leader="dot" w:pos="9926"/>
        </w:tabs>
        <w:rPr>
          <w:rFonts w:asciiTheme="minorHAnsi" w:hAnsiTheme="minorHAnsi"/>
          <w:noProof/>
        </w:rPr>
      </w:pPr>
      <w:hyperlink w:anchor="_Toc362873965" w:history="1">
        <w:r w:rsidR="00FB5A0A" w:rsidRPr="00214188">
          <w:rPr>
            <w:rStyle w:val="Hyperlink"/>
            <w:noProof/>
          </w:rPr>
          <w:t>Figure 2. Percentage of children living at or below the poverty line (Source: US Census Bureau Bureau)</w:t>
        </w:r>
        <w:r w:rsidR="00FB5A0A">
          <w:rPr>
            <w:noProof/>
            <w:webHidden/>
          </w:rPr>
          <w:tab/>
        </w:r>
        <w:r w:rsidR="00DD1BE8">
          <w:rPr>
            <w:noProof/>
            <w:webHidden/>
          </w:rPr>
          <w:fldChar w:fldCharType="begin"/>
        </w:r>
        <w:r w:rsidR="00FB5A0A">
          <w:rPr>
            <w:noProof/>
            <w:webHidden/>
          </w:rPr>
          <w:instrText xml:space="preserve"> PAGEREF _Toc362873965 \h </w:instrText>
        </w:r>
        <w:r w:rsidR="00DD1BE8">
          <w:rPr>
            <w:noProof/>
            <w:webHidden/>
          </w:rPr>
        </w:r>
        <w:r w:rsidR="00DD1BE8">
          <w:rPr>
            <w:noProof/>
            <w:webHidden/>
          </w:rPr>
          <w:fldChar w:fldCharType="separate"/>
        </w:r>
        <w:r w:rsidR="0002537D">
          <w:rPr>
            <w:noProof/>
            <w:webHidden/>
          </w:rPr>
          <w:t>6</w:t>
        </w:r>
        <w:r w:rsidR="00DD1BE8">
          <w:rPr>
            <w:noProof/>
            <w:webHidden/>
          </w:rPr>
          <w:fldChar w:fldCharType="end"/>
        </w:r>
      </w:hyperlink>
    </w:p>
    <w:p w:rsidR="00FB5A0A" w:rsidRDefault="00205C46">
      <w:pPr>
        <w:pStyle w:val="TableofFigures"/>
        <w:tabs>
          <w:tab w:val="right" w:leader="dot" w:pos="9926"/>
        </w:tabs>
        <w:rPr>
          <w:rFonts w:asciiTheme="minorHAnsi" w:hAnsiTheme="minorHAnsi"/>
          <w:noProof/>
        </w:rPr>
      </w:pPr>
      <w:hyperlink w:anchor="_Toc362873966" w:history="1">
        <w:r w:rsidR="00FB5A0A" w:rsidRPr="00214188">
          <w:rPr>
            <w:rStyle w:val="Hyperlink"/>
            <w:noProof/>
          </w:rPr>
          <w:t>Figure 3. Louisiana Poverty rates from 1960 to 2010 (Source: US Census Bureau Bureau)</w:t>
        </w:r>
        <w:r w:rsidR="00FB5A0A">
          <w:rPr>
            <w:noProof/>
            <w:webHidden/>
          </w:rPr>
          <w:tab/>
        </w:r>
        <w:r w:rsidR="00DD1BE8">
          <w:rPr>
            <w:noProof/>
            <w:webHidden/>
          </w:rPr>
          <w:fldChar w:fldCharType="begin"/>
        </w:r>
        <w:r w:rsidR="00FB5A0A">
          <w:rPr>
            <w:noProof/>
            <w:webHidden/>
          </w:rPr>
          <w:instrText xml:space="preserve"> PAGEREF _Toc362873966 \h </w:instrText>
        </w:r>
        <w:r w:rsidR="00DD1BE8">
          <w:rPr>
            <w:noProof/>
            <w:webHidden/>
          </w:rPr>
        </w:r>
        <w:r w:rsidR="00DD1BE8">
          <w:rPr>
            <w:noProof/>
            <w:webHidden/>
          </w:rPr>
          <w:fldChar w:fldCharType="separate"/>
        </w:r>
        <w:r w:rsidR="0002537D">
          <w:rPr>
            <w:noProof/>
            <w:webHidden/>
          </w:rPr>
          <w:t>7</w:t>
        </w:r>
        <w:r w:rsidR="00DD1BE8">
          <w:rPr>
            <w:noProof/>
            <w:webHidden/>
          </w:rPr>
          <w:fldChar w:fldCharType="end"/>
        </w:r>
      </w:hyperlink>
    </w:p>
    <w:p w:rsidR="00FB5A0A" w:rsidRDefault="00205C46">
      <w:pPr>
        <w:pStyle w:val="TableofFigures"/>
        <w:tabs>
          <w:tab w:val="right" w:leader="dot" w:pos="9926"/>
        </w:tabs>
        <w:rPr>
          <w:rFonts w:asciiTheme="minorHAnsi" w:hAnsiTheme="minorHAnsi"/>
          <w:noProof/>
        </w:rPr>
      </w:pPr>
      <w:hyperlink w:anchor="_Toc362873967" w:history="1">
        <w:r w:rsidR="00FB5A0A" w:rsidRPr="00214188">
          <w:rPr>
            <w:rStyle w:val="Hyperlink"/>
            <w:noProof/>
          </w:rPr>
          <w:t>Figure 4. Childhood poverty rates by parish (Source: US Census Bureau Bureau)</w:t>
        </w:r>
        <w:r w:rsidR="00FB5A0A">
          <w:rPr>
            <w:noProof/>
            <w:webHidden/>
          </w:rPr>
          <w:tab/>
        </w:r>
        <w:r w:rsidR="00DD1BE8">
          <w:rPr>
            <w:noProof/>
            <w:webHidden/>
          </w:rPr>
          <w:fldChar w:fldCharType="begin"/>
        </w:r>
        <w:r w:rsidR="00FB5A0A">
          <w:rPr>
            <w:noProof/>
            <w:webHidden/>
          </w:rPr>
          <w:instrText xml:space="preserve"> PAGEREF _Toc362873967 \h </w:instrText>
        </w:r>
        <w:r w:rsidR="00DD1BE8">
          <w:rPr>
            <w:noProof/>
            <w:webHidden/>
          </w:rPr>
        </w:r>
        <w:r w:rsidR="00DD1BE8">
          <w:rPr>
            <w:noProof/>
            <w:webHidden/>
          </w:rPr>
          <w:fldChar w:fldCharType="separate"/>
        </w:r>
        <w:r w:rsidR="0002537D">
          <w:rPr>
            <w:noProof/>
            <w:webHidden/>
          </w:rPr>
          <w:t>7</w:t>
        </w:r>
        <w:r w:rsidR="00DD1BE8">
          <w:rPr>
            <w:noProof/>
            <w:webHidden/>
          </w:rPr>
          <w:fldChar w:fldCharType="end"/>
        </w:r>
      </w:hyperlink>
    </w:p>
    <w:p w:rsidR="00FB5A0A" w:rsidRDefault="00205C46">
      <w:pPr>
        <w:pStyle w:val="TableofFigures"/>
        <w:tabs>
          <w:tab w:val="right" w:leader="dot" w:pos="9926"/>
        </w:tabs>
        <w:rPr>
          <w:rFonts w:asciiTheme="minorHAnsi" w:hAnsiTheme="minorHAnsi"/>
          <w:noProof/>
        </w:rPr>
      </w:pPr>
      <w:hyperlink w:anchor="_Toc362873968" w:history="1">
        <w:r w:rsidR="00FB5A0A" w:rsidRPr="00214188">
          <w:rPr>
            <w:rStyle w:val="Hyperlink"/>
            <w:noProof/>
          </w:rPr>
          <w:t>Figure 5. Trends in alcohol use amongst Louisiana youth in grades 6, 8, 10, and 12 (Source: CCYS)</w:t>
        </w:r>
        <w:r w:rsidR="00FB5A0A">
          <w:rPr>
            <w:noProof/>
            <w:webHidden/>
          </w:rPr>
          <w:tab/>
        </w:r>
        <w:r w:rsidR="00DD1BE8">
          <w:rPr>
            <w:noProof/>
            <w:webHidden/>
          </w:rPr>
          <w:fldChar w:fldCharType="begin"/>
        </w:r>
        <w:r w:rsidR="00FB5A0A">
          <w:rPr>
            <w:noProof/>
            <w:webHidden/>
          </w:rPr>
          <w:instrText xml:space="preserve"> PAGEREF _Toc362873968 \h </w:instrText>
        </w:r>
        <w:r w:rsidR="00DD1BE8">
          <w:rPr>
            <w:noProof/>
            <w:webHidden/>
          </w:rPr>
        </w:r>
        <w:r w:rsidR="00DD1BE8">
          <w:rPr>
            <w:noProof/>
            <w:webHidden/>
          </w:rPr>
          <w:fldChar w:fldCharType="separate"/>
        </w:r>
        <w:r w:rsidR="0002537D">
          <w:rPr>
            <w:noProof/>
            <w:webHidden/>
          </w:rPr>
          <w:t>9</w:t>
        </w:r>
        <w:r w:rsidR="00DD1BE8">
          <w:rPr>
            <w:noProof/>
            <w:webHidden/>
          </w:rPr>
          <w:fldChar w:fldCharType="end"/>
        </w:r>
      </w:hyperlink>
    </w:p>
    <w:p w:rsidR="00FB5A0A" w:rsidRDefault="00205C46">
      <w:pPr>
        <w:pStyle w:val="TableofFigures"/>
        <w:tabs>
          <w:tab w:val="right" w:leader="dot" w:pos="9926"/>
        </w:tabs>
        <w:rPr>
          <w:rFonts w:asciiTheme="minorHAnsi" w:hAnsiTheme="minorHAnsi"/>
          <w:noProof/>
        </w:rPr>
      </w:pPr>
      <w:hyperlink w:anchor="_Toc362873969" w:history="1">
        <w:r w:rsidR="00FB5A0A" w:rsidRPr="00214188">
          <w:rPr>
            <w:rStyle w:val="Hyperlink"/>
            <w:noProof/>
          </w:rPr>
          <w:t>Figure 6. Relative rates of alcohol use by parish for 8</w:t>
        </w:r>
        <w:r w:rsidR="00FB5A0A" w:rsidRPr="00214188">
          <w:rPr>
            <w:rStyle w:val="Hyperlink"/>
            <w:noProof/>
            <w:vertAlign w:val="superscript"/>
          </w:rPr>
          <w:t>th</w:t>
        </w:r>
        <w:r w:rsidR="00FB5A0A" w:rsidRPr="00214188">
          <w:rPr>
            <w:rStyle w:val="Hyperlink"/>
            <w:noProof/>
          </w:rPr>
          <w:t>, 10</w:t>
        </w:r>
        <w:r w:rsidR="00FB5A0A" w:rsidRPr="00214188">
          <w:rPr>
            <w:rStyle w:val="Hyperlink"/>
            <w:noProof/>
            <w:vertAlign w:val="superscript"/>
          </w:rPr>
          <w:t>th</w:t>
        </w:r>
        <w:r w:rsidR="00FB5A0A" w:rsidRPr="00214188">
          <w:rPr>
            <w:rStyle w:val="Hyperlink"/>
            <w:noProof/>
          </w:rPr>
          <w:t>, and 12</w:t>
        </w:r>
        <w:r w:rsidR="00FB5A0A" w:rsidRPr="00214188">
          <w:rPr>
            <w:rStyle w:val="Hyperlink"/>
            <w:noProof/>
            <w:vertAlign w:val="superscript"/>
          </w:rPr>
          <w:t>th</w:t>
        </w:r>
        <w:r w:rsidR="00FB5A0A" w:rsidRPr="00214188">
          <w:rPr>
            <w:rStyle w:val="Hyperlink"/>
            <w:noProof/>
          </w:rPr>
          <w:t xml:space="preserve"> grade students (Source: CCYS 2012)</w:t>
        </w:r>
        <w:r w:rsidR="00FB5A0A">
          <w:rPr>
            <w:noProof/>
            <w:webHidden/>
          </w:rPr>
          <w:tab/>
        </w:r>
        <w:r w:rsidR="00DD1BE8">
          <w:rPr>
            <w:noProof/>
            <w:webHidden/>
          </w:rPr>
          <w:fldChar w:fldCharType="begin"/>
        </w:r>
        <w:r w:rsidR="00FB5A0A">
          <w:rPr>
            <w:noProof/>
            <w:webHidden/>
          </w:rPr>
          <w:instrText xml:space="preserve"> PAGEREF _Toc362873969 \h </w:instrText>
        </w:r>
        <w:r w:rsidR="00DD1BE8">
          <w:rPr>
            <w:noProof/>
            <w:webHidden/>
          </w:rPr>
        </w:r>
        <w:r w:rsidR="00DD1BE8">
          <w:rPr>
            <w:noProof/>
            <w:webHidden/>
          </w:rPr>
          <w:fldChar w:fldCharType="separate"/>
        </w:r>
        <w:r w:rsidR="0002537D">
          <w:rPr>
            <w:noProof/>
            <w:webHidden/>
          </w:rPr>
          <w:t>10</w:t>
        </w:r>
        <w:r w:rsidR="00DD1BE8">
          <w:rPr>
            <w:noProof/>
            <w:webHidden/>
          </w:rPr>
          <w:fldChar w:fldCharType="end"/>
        </w:r>
      </w:hyperlink>
    </w:p>
    <w:p w:rsidR="00FB5A0A" w:rsidRDefault="00205C46">
      <w:pPr>
        <w:pStyle w:val="TableofFigures"/>
        <w:tabs>
          <w:tab w:val="right" w:leader="dot" w:pos="9926"/>
        </w:tabs>
        <w:rPr>
          <w:rFonts w:asciiTheme="minorHAnsi" w:hAnsiTheme="minorHAnsi"/>
          <w:noProof/>
        </w:rPr>
      </w:pPr>
      <w:hyperlink w:anchor="_Toc362873970" w:history="1">
        <w:r w:rsidR="00FB5A0A" w:rsidRPr="00214188">
          <w:rPr>
            <w:rStyle w:val="Hyperlink"/>
            <w:noProof/>
          </w:rPr>
          <w:t>Figure 7. Statewide rates of binge drinking for 6</w:t>
        </w:r>
        <w:r w:rsidR="00FB5A0A" w:rsidRPr="00214188">
          <w:rPr>
            <w:rStyle w:val="Hyperlink"/>
            <w:noProof/>
            <w:vertAlign w:val="superscript"/>
          </w:rPr>
          <w:t>th</w:t>
        </w:r>
        <w:r w:rsidR="00FB5A0A" w:rsidRPr="00214188">
          <w:rPr>
            <w:rStyle w:val="Hyperlink"/>
            <w:noProof/>
          </w:rPr>
          <w:t>, 8</w:t>
        </w:r>
        <w:r w:rsidR="00FB5A0A" w:rsidRPr="00214188">
          <w:rPr>
            <w:rStyle w:val="Hyperlink"/>
            <w:noProof/>
            <w:vertAlign w:val="superscript"/>
          </w:rPr>
          <w:t>th</w:t>
        </w:r>
        <w:r w:rsidR="00FB5A0A" w:rsidRPr="00214188">
          <w:rPr>
            <w:rStyle w:val="Hyperlink"/>
            <w:noProof/>
          </w:rPr>
          <w:t>, 10</w:t>
        </w:r>
        <w:r w:rsidR="00FB5A0A" w:rsidRPr="00214188">
          <w:rPr>
            <w:rStyle w:val="Hyperlink"/>
            <w:noProof/>
            <w:vertAlign w:val="superscript"/>
          </w:rPr>
          <w:t>th</w:t>
        </w:r>
        <w:r w:rsidR="00FB5A0A" w:rsidRPr="00214188">
          <w:rPr>
            <w:rStyle w:val="Hyperlink"/>
            <w:noProof/>
          </w:rPr>
          <w:t>, and 12</w:t>
        </w:r>
        <w:r w:rsidR="00FB5A0A" w:rsidRPr="00214188">
          <w:rPr>
            <w:rStyle w:val="Hyperlink"/>
            <w:noProof/>
            <w:vertAlign w:val="superscript"/>
          </w:rPr>
          <w:t>th</w:t>
        </w:r>
        <w:r w:rsidR="00FB5A0A" w:rsidRPr="00214188">
          <w:rPr>
            <w:rStyle w:val="Hyperlink"/>
            <w:noProof/>
          </w:rPr>
          <w:t xml:space="preserve"> grade students (Source: CCYS)</w:t>
        </w:r>
        <w:r w:rsidR="00FB5A0A">
          <w:rPr>
            <w:noProof/>
            <w:webHidden/>
          </w:rPr>
          <w:tab/>
        </w:r>
        <w:r w:rsidR="00DD1BE8">
          <w:rPr>
            <w:noProof/>
            <w:webHidden/>
          </w:rPr>
          <w:fldChar w:fldCharType="begin"/>
        </w:r>
        <w:r w:rsidR="00FB5A0A">
          <w:rPr>
            <w:noProof/>
            <w:webHidden/>
          </w:rPr>
          <w:instrText xml:space="preserve"> PAGEREF _Toc362873970 \h </w:instrText>
        </w:r>
        <w:r w:rsidR="00DD1BE8">
          <w:rPr>
            <w:noProof/>
            <w:webHidden/>
          </w:rPr>
        </w:r>
        <w:r w:rsidR="00DD1BE8">
          <w:rPr>
            <w:noProof/>
            <w:webHidden/>
          </w:rPr>
          <w:fldChar w:fldCharType="separate"/>
        </w:r>
        <w:r w:rsidR="0002537D">
          <w:rPr>
            <w:noProof/>
            <w:webHidden/>
          </w:rPr>
          <w:t>10</w:t>
        </w:r>
        <w:r w:rsidR="00DD1BE8">
          <w:rPr>
            <w:noProof/>
            <w:webHidden/>
          </w:rPr>
          <w:fldChar w:fldCharType="end"/>
        </w:r>
      </w:hyperlink>
    </w:p>
    <w:p w:rsidR="00FB5A0A" w:rsidRDefault="00205C46">
      <w:pPr>
        <w:pStyle w:val="TableofFigures"/>
        <w:tabs>
          <w:tab w:val="right" w:leader="dot" w:pos="9926"/>
        </w:tabs>
        <w:rPr>
          <w:rFonts w:asciiTheme="minorHAnsi" w:hAnsiTheme="minorHAnsi"/>
          <w:noProof/>
        </w:rPr>
      </w:pPr>
      <w:hyperlink w:anchor="_Toc362873971" w:history="1">
        <w:r w:rsidR="00FB5A0A" w:rsidRPr="00214188">
          <w:rPr>
            <w:rStyle w:val="Hyperlink"/>
            <w:noProof/>
          </w:rPr>
          <w:t>Figure 8. Relative rates of binge drinking by parish for 8th, 10th, and 12th grade students (Source: CCYS 2012)</w:t>
        </w:r>
        <w:r w:rsidR="00FB5A0A">
          <w:rPr>
            <w:noProof/>
            <w:webHidden/>
          </w:rPr>
          <w:tab/>
        </w:r>
        <w:r w:rsidR="00DD1BE8">
          <w:rPr>
            <w:noProof/>
            <w:webHidden/>
          </w:rPr>
          <w:fldChar w:fldCharType="begin"/>
        </w:r>
        <w:r w:rsidR="00FB5A0A">
          <w:rPr>
            <w:noProof/>
            <w:webHidden/>
          </w:rPr>
          <w:instrText xml:space="preserve"> PAGEREF _Toc362873971 \h </w:instrText>
        </w:r>
        <w:r w:rsidR="00DD1BE8">
          <w:rPr>
            <w:noProof/>
            <w:webHidden/>
          </w:rPr>
        </w:r>
        <w:r w:rsidR="00DD1BE8">
          <w:rPr>
            <w:noProof/>
            <w:webHidden/>
          </w:rPr>
          <w:fldChar w:fldCharType="separate"/>
        </w:r>
        <w:r w:rsidR="0002537D">
          <w:rPr>
            <w:noProof/>
            <w:webHidden/>
          </w:rPr>
          <w:t>11</w:t>
        </w:r>
        <w:r w:rsidR="00DD1BE8">
          <w:rPr>
            <w:noProof/>
            <w:webHidden/>
          </w:rPr>
          <w:fldChar w:fldCharType="end"/>
        </w:r>
      </w:hyperlink>
    </w:p>
    <w:p w:rsidR="00FB5A0A" w:rsidRDefault="00205C46">
      <w:pPr>
        <w:pStyle w:val="TableofFigures"/>
        <w:tabs>
          <w:tab w:val="right" w:leader="dot" w:pos="9926"/>
        </w:tabs>
        <w:rPr>
          <w:rFonts w:asciiTheme="minorHAnsi" w:hAnsiTheme="minorHAnsi"/>
          <w:noProof/>
        </w:rPr>
      </w:pPr>
      <w:hyperlink w:anchor="_Toc362873972" w:history="1">
        <w:r w:rsidR="00FB5A0A" w:rsidRPr="00214188">
          <w:rPr>
            <w:rStyle w:val="Hyperlink"/>
            <w:noProof/>
          </w:rPr>
          <w:t>Figure 9. Louisiana Statewide Alcohol-related Injury Crash rates (Source: LSU Highway Safety Research Group 2012)</w:t>
        </w:r>
        <w:r w:rsidR="00FB5A0A">
          <w:rPr>
            <w:noProof/>
            <w:webHidden/>
          </w:rPr>
          <w:tab/>
        </w:r>
        <w:r w:rsidR="00DD1BE8">
          <w:rPr>
            <w:noProof/>
            <w:webHidden/>
          </w:rPr>
          <w:fldChar w:fldCharType="begin"/>
        </w:r>
        <w:r w:rsidR="00FB5A0A">
          <w:rPr>
            <w:noProof/>
            <w:webHidden/>
          </w:rPr>
          <w:instrText xml:space="preserve"> PAGEREF _Toc362873972 \h </w:instrText>
        </w:r>
        <w:r w:rsidR="00DD1BE8">
          <w:rPr>
            <w:noProof/>
            <w:webHidden/>
          </w:rPr>
        </w:r>
        <w:r w:rsidR="00DD1BE8">
          <w:rPr>
            <w:noProof/>
            <w:webHidden/>
          </w:rPr>
          <w:fldChar w:fldCharType="separate"/>
        </w:r>
        <w:r w:rsidR="0002537D">
          <w:rPr>
            <w:noProof/>
            <w:webHidden/>
          </w:rPr>
          <w:t>12</w:t>
        </w:r>
        <w:r w:rsidR="00DD1BE8">
          <w:rPr>
            <w:noProof/>
            <w:webHidden/>
          </w:rPr>
          <w:fldChar w:fldCharType="end"/>
        </w:r>
      </w:hyperlink>
    </w:p>
    <w:p w:rsidR="00FB5A0A" w:rsidRDefault="00205C46">
      <w:pPr>
        <w:pStyle w:val="TableofFigures"/>
        <w:tabs>
          <w:tab w:val="right" w:leader="dot" w:pos="9926"/>
        </w:tabs>
        <w:rPr>
          <w:rFonts w:asciiTheme="minorHAnsi" w:hAnsiTheme="minorHAnsi"/>
          <w:noProof/>
        </w:rPr>
      </w:pPr>
      <w:hyperlink w:anchor="_Toc362873973" w:history="1">
        <w:r w:rsidR="00FB5A0A" w:rsidRPr="00214188">
          <w:rPr>
            <w:rStyle w:val="Hyperlink"/>
            <w:noProof/>
          </w:rPr>
          <w:t>Figure 10. Alcohol related vehicle crash injury rates in Louisiana from 2001 to 2011 (Source: Highway Safety Research Group)</w:t>
        </w:r>
        <w:r w:rsidR="00FB5A0A">
          <w:rPr>
            <w:noProof/>
            <w:webHidden/>
          </w:rPr>
          <w:tab/>
        </w:r>
        <w:r w:rsidR="00DD1BE8">
          <w:rPr>
            <w:noProof/>
            <w:webHidden/>
          </w:rPr>
          <w:fldChar w:fldCharType="begin"/>
        </w:r>
        <w:r w:rsidR="00FB5A0A">
          <w:rPr>
            <w:noProof/>
            <w:webHidden/>
          </w:rPr>
          <w:instrText xml:space="preserve"> PAGEREF _Toc362873973 \h </w:instrText>
        </w:r>
        <w:r w:rsidR="00DD1BE8">
          <w:rPr>
            <w:noProof/>
            <w:webHidden/>
          </w:rPr>
        </w:r>
        <w:r w:rsidR="00DD1BE8">
          <w:rPr>
            <w:noProof/>
            <w:webHidden/>
          </w:rPr>
          <w:fldChar w:fldCharType="separate"/>
        </w:r>
        <w:r w:rsidR="0002537D">
          <w:rPr>
            <w:noProof/>
            <w:webHidden/>
          </w:rPr>
          <w:t>13</w:t>
        </w:r>
        <w:r w:rsidR="00DD1BE8">
          <w:rPr>
            <w:noProof/>
            <w:webHidden/>
          </w:rPr>
          <w:fldChar w:fldCharType="end"/>
        </w:r>
      </w:hyperlink>
    </w:p>
    <w:p w:rsidR="00FB5A0A" w:rsidRDefault="00205C46">
      <w:pPr>
        <w:pStyle w:val="TableofFigures"/>
        <w:tabs>
          <w:tab w:val="right" w:leader="dot" w:pos="9926"/>
        </w:tabs>
        <w:rPr>
          <w:rFonts w:asciiTheme="minorHAnsi" w:hAnsiTheme="minorHAnsi"/>
          <w:noProof/>
        </w:rPr>
      </w:pPr>
      <w:hyperlink w:anchor="_Toc362873974" w:history="1">
        <w:r w:rsidR="00FB5A0A" w:rsidRPr="00214188">
          <w:rPr>
            <w:rStyle w:val="Hyperlink"/>
            <w:noProof/>
          </w:rPr>
          <w:t>Figure 11. Alcohol related vehicle crash fatality rates in Louisiana from 2001 to 2011 (Source: Highway Safety Research Group)</w:t>
        </w:r>
        <w:r w:rsidR="00FB5A0A">
          <w:rPr>
            <w:noProof/>
            <w:webHidden/>
          </w:rPr>
          <w:tab/>
        </w:r>
        <w:r w:rsidR="00DD1BE8">
          <w:rPr>
            <w:noProof/>
            <w:webHidden/>
          </w:rPr>
          <w:fldChar w:fldCharType="begin"/>
        </w:r>
        <w:r w:rsidR="00FB5A0A">
          <w:rPr>
            <w:noProof/>
            <w:webHidden/>
          </w:rPr>
          <w:instrText xml:space="preserve"> PAGEREF _Toc362873974 \h </w:instrText>
        </w:r>
        <w:r w:rsidR="00DD1BE8">
          <w:rPr>
            <w:noProof/>
            <w:webHidden/>
          </w:rPr>
        </w:r>
        <w:r w:rsidR="00DD1BE8">
          <w:rPr>
            <w:noProof/>
            <w:webHidden/>
          </w:rPr>
          <w:fldChar w:fldCharType="separate"/>
        </w:r>
        <w:r w:rsidR="0002537D">
          <w:rPr>
            <w:noProof/>
            <w:webHidden/>
          </w:rPr>
          <w:t>13</w:t>
        </w:r>
        <w:r w:rsidR="00DD1BE8">
          <w:rPr>
            <w:noProof/>
            <w:webHidden/>
          </w:rPr>
          <w:fldChar w:fldCharType="end"/>
        </w:r>
      </w:hyperlink>
    </w:p>
    <w:p w:rsidR="00FB5A0A" w:rsidRDefault="00205C46">
      <w:pPr>
        <w:pStyle w:val="TableofFigures"/>
        <w:tabs>
          <w:tab w:val="right" w:leader="dot" w:pos="9926"/>
        </w:tabs>
        <w:rPr>
          <w:rFonts w:asciiTheme="minorHAnsi" w:hAnsiTheme="minorHAnsi"/>
          <w:noProof/>
        </w:rPr>
      </w:pPr>
      <w:hyperlink w:anchor="_Toc362873975" w:history="1">
        <w:r w:rsidR="00FB5A0A" w:rsidRPr="00214188">
          <w:rPr>
            <w:rStyle w:val="Hyperlink"/>
            <w:noProof/>
          </w:rPr>
          <w:t>Figure 12. Comparison of Louisiana to US rates of current drinking from 2001 to 2011 (Source: BRFSS)</w:t>
        </w:r>
        <w:r w:rsidR="00FB5A0A">
          <w:rPr>
            <w:noProof/>
            <w:webHidden/>
          </w:rPr>
          <w:tab/>
        </w:r>
        <w:r w:rsidR="00DD1BE8">
          <w:rPr>
            <w:noProof/>
            <w:webHidden/>
          </w:rPr>
          <w:fldChar w:fldCharType="begin"/>
        </w:r>
        <w:r w:rsidR="00FB5A0A">
          <w:rPr>
            <w:noProof/>
            <w:webHidden/>
          </w:rPr>
          <w:instrText xml:space="preserve"> PAGEREF _Toc362873975 \h </w:instrText>
        </w:r>
        <w:r w:rsidR="00DD1BE8">
          <w:rPr>
            <w:noProof/>
            <w:webHidden/>
          </w:rPr>
        </w:r>
        <w:r w:rsidR="00DD1BE8">
          <w:rPr>
            <w:noProof/>
            <w:webHidden/>
          </w:rPr>
          <w:fldChar w:fldCharType="separate"/>
        </w:r>
        <w:r w:rsidR="0002537D">
          <w:rPr>
            <w:noProof/>
            <w:webHidden/>
          </w:rPr>
          <w:t>14</w:t>
        </w:r>
        <w:r w:rsidR="00DD1BE8">
          <w:rPr>
            <w:noProof/>
            <w:webHidden/>
          </w:rPr>
          <w:fldChar w:fldCharType="end"/>
        </w:r>
      </w:hyperlink>
    </w:p>
    <w:p w:rsidR="00FB5A0A" w:rsidRDefault="00205C46">
      <w:pPr>
        <w:pStyle w:val="TableofFigures"/>
        <w:tabs>
          <w:tab w:val="right" w:leader="dot" w:pos="9926"/>
        </w:tabs>
        <w:rPr>
          <w:rFonts w:asciiTheme="minorHAnsi" w:hAnsiTheme="minorHAnsi"/>
          <w:noProof/>
        </w:rPr>
      </w:pPr>
      <w:hyperlink w:anchor="_Toc362873976" w:history="1">
        <w:r w:rsidR="00FB5A0A" w:rsidRPr="00214188">
          <w:rPr>
            <w:rStyle w:val="Hyperlink"/>
            <w:noProof/>
          </w:rPr>
          <w:t>Figure 13. Rates of current drinking for all states in the US (Source: BRFSS 2011)</w:t>
        </w:r>
        <w:r w:rsidR="00FB5A0A">
          <w:rPr>
            <w:noProof/>
            <w:webHidden/>
          </w:rPr>
          <w:tab/>
        </w:r>
        <w:r w:rsidR="00DD1BE8">
          <w:rPr>
            <w:noProof/>
            <w:webHidden/>
          </w:rPr>
          <w:fldChar w:fldCharType="begin"/>
        </w:r>
        <w:r w:rsidR="00FB5A0A">
          <w:rPr>
            <w:noProof/>
            <w:webHidden/>
          </w:rPr>
          <w:instrText xml:space="preserve"> PAGEREF _Toc362873976 \h </w:instrText>
        </w:r>
        <w:r w:rsidR="00DD1BE8">
          <w:rPr>
            <w:noProof/>
            <w:webHidden/>
          </w:rPr>
        </w:r>
        <w:r w:rsidR="00DD1BE8">
          <w:rPr>
            <w:noProof/>
            <w:webHidden/>
          </w:rPr>
          <w:fldChar w:fldCharType="separate"/>
        </w:r>
        <w:r w:rsidR="0002537D">
          <w:rPr>
            <w:noProof/>
            <w:webHidden/>
          </w:rPr>
          <w:t>14</w:t>
        </w:r>
        <w:r w:rsidR="00DD1BE8">
          <w:rPr>
            <w:noProof/>
            <w:webHidden/>
          </w:rPr>
          <w:fldChar w:fldCharType="end"/>
        </w:r>
      </w:hyperlink>
    </w:p>
    <w:p w:rsidR="00FB5A0A" w:rsidRDefault="00205C46">
      <w:pPr>
        <w:pStyle w:val="TableofFigures"/>
        <w:tabs>
          <w:tab w:val="right" w:leader="dot" w:pos="9926"/>
        </w:tabs>
        <w:rPr>
          <w:rFonts w:asciiTheme="minorHAnsi" w:hAnsiTheme="minorHAnsi"/>
          <w:noProof/>
        </w:rPr>
      </w:pPr>
      <w:hyperlink w:anchor="_Toc362873977" w:history="1">
        <w:r w:rsidR="00FB5A0A" w:rsidRPr="00214188">
          <w:rPr>
            <w:rStyle w:val="Hyperlink"/>
            <w:noProof/>
          </w:rPr>
          <w:t>Figure 14. Comparison of Louisiana to US rates of binge drinking from 2001 to 2011 (Source: BRFSS)</w:t>
        </w:r>
        <w:r w:rsidR="00FB5A0A">
          <w:rPr>
            <w:noProof/>
            <w:webHidden/>
          </w:rPr>
          <w:tab/>
        </w:r>
        <w:r w:rsidR="00DD1BE8">
          <w:rPr>
            <w:noProof/>
            <w:webHidden/>
          </w:rPr>
          <w:fldChar w:fldCharType="begin"/>
        </w:r>
        <w:r w:rsidR="00FB5A0A">
          <w:rPr>
            <w:noProof/>
            <w:webHidden/>
          </w:rPr>
          <w:instrText xml:space="preserve"> PAGEREF _Toc362873977 \h </w:instrText>
        </w:r>
        <w:r w:rsidR="00DD1BE8">
          <w:rPr>
            <w:noProof/>
            <w:webHidden/>
          </w:rPr>
        </w:r>
        <w:r w:rsidR="00DD1BE8">
          <w:rPr>
            <w:noProof/>
            <w:webHidden/>
          </w:rPr>
          <w:fldChar w:fldCharType="separate"/>
        </w:r>
        <w:r w:rsidR="0002537D">
          <w:rPr>
            <w:noProof/>
            <w:webHidden/>
          </w:rPr>
          <w:t>15</w:t>
        </w:r>
        <w:r w:rsidR="00DD1BE8">
          <w:rPr>
            <w:noProof/>
            <w:webHidden/>
          </w:rPr>
          <w:fldChar w:fldCharType="end"/>
        </w:r>
      </w:hyperlink>
    </w:p>
    <w:p w:rsidR="00FB5A0A" w:rsidRDefault="00205C46">
      <w:pPr>
        <w:pStyle w:val="TableofFigures"/>
        <w:tabs>
          <w:tab w:val="right" w:leader="dot" w:pos="9926"/>
        </w:tabs>
        <w:rPr>
          <w:rFonts w:asciiTheme="minorHAnsi" w:hAnsiTheme="minorHAnsi"/>
          <w:noProof/>
        </w:rPr>
      </w:pPr>
      <w:hyperlink w:anchor="_Toc362873978" w:history="1">
        <w:r w:rsidR="00FB5A0A" w:rsidRPr="00214188">
          <w:rPr>
            <w:rStyle w:val="Hyperlink"/>
            <w:noProof/>
          </w:rPr>
          <w:t>Figure 15. Nationwide comparison of adult binge drinking rates (Source: BRFSS 2011)</w:t>
        </w:r>
        <w:r w:rsidR="00FB5A0A">
          <w:rPr>
            <w:noProof/>
            <w:webHidden/>
          </w:rPr>
          <w:tab/>
        </w:r>
        <w:r w:rsidR="00DD1BE8">
          <w:rPr>
            <w:noProof/>
            <w:webHidden/>
          </w:rPr>
          <w:fldChar w:fldCharType="begin"/>
        </w:r>
        <w:r w:rsidR="00FB5A0A">
          <w:rPr>
            <w:noProof/>
            <w:webHidden/>
          </w:rPr>
          <w:instrText xml:space="preserve"> PAGEREF _Toc362873978 \h </w:instrText>
        </w:r>
        <w:r w:rsidR="00DD1BE8">
          <w:rPr>
            <w:noProof/>
            <w:webHidden/>
          </w:rPr>
        </w:r>
        <w:r w:rsidR="00DD1BE8">
          <w:rPr>
            <w:noProof/>
            <w:webHidden/>
          </w:rPr>
          <w:fldChar w:fldCharType="separate"/>
        </w:r>
        <w:r w:rsidR="0002537D">
          <w:rPr>
            <w:noProof/>
            <w:webHidden/>
          </w:rPr>
          <w:t>16</w:t>
        </w:r>
        <w:r w:rsidR="00DD1BE8">
          <w:rPr>
            <w:noProof/>
            <w:webHidden/>
          </w:rPr>
          <w:fldChar w:fldCharType="end"/>
        </w:r>
      </w:hyperlink>
    </w:p>
    <w:p w:rsidR="00FB5A0A" w:rsidRDefault="00205C46">
      <w:pPr>
        <w:pStyle w:val="TableofFigures"/>
        <w:tabs>
          <w:tab w:val="right" w:leader="dot" w:pos="9926"/>
        </w:tabs>
        <w:rPr>
          <w:rFonts w:asciiTheme="minorHAnsi" w:hAnsiTheme="minorHAnsi"/>
          <w:noProof/>
        </w:rPr>
      </w:pPr>
      <w:hyperlink w:anchor="_Toc362873979" w:history="1">
        <w:r w:rsidR="00FB5A0A" w:rsidRPr="00214188">
          <w:rPr>
            <w:rStyle w:val="Hyperlink"/>
            <w:noProof/>
          </w:rPr>
          <w:t>Figure 16. Percentage of individuals that meet the criteria for being classified as abusing or dependent upon alcohol (Source: NSDUH)</w:t>
        </w:r>
        <w:r w:rsidR="00FB5A0A">
          <w:rPr>
            <w:noProof/>
            <w:webHidden/>
          </w:rPr>
          <w:tab/>
        </w:r>
        <w:r w:rsidR="00DD1BE8">
          <w:rPr>
            <w:noProof/>
            <w:webHidden/>
          </w:rPr>
          <w:fldChar w:fldCharType="begin"/>
        </w:r>
        <w:r w:rsidR="00FB5A0A">
          <w:rPr>
            <w:noProof/>
            <w:webHidden/>
          </w:rPr>
          <w:instrText xml:space="preserve"> PAGEREF _Toc362873979 \h </w:instrText>
        </w:r>
        <w:r w:rsidR="00DD1BE8">
          <w:rPr>
            <w:noProof/>
            <w:webHidden/>
          </w:rPr>
        </w:r>
        <w:r w:rsidR="00DD1BE8">
          <w:rPr>
            <w:noProof/>
            <w:webHidden/>
          </w:rPr>
          <w:fldChar w:fldCharType="separate"/>
        </w:r>
        <w:r w:rsidR="0002537D">
          <w:rPr>
            <w:noProof/>
            <w:webHidden/>
          </w:rPr>
          <w:t>17</w:t>
        </w:r>
        <w:r w:rsidR="00DD1BE8">
          <w:rPr>
            <w:noProof/>
            <w:webHidden/>
          </w:rPr>
          <w:fldChar w:fldCharType="end"/>
        </w:r>
      </w:hyperlink>
    </w:p>
    <w:p w:rsidR="00FB5A0A" w:rsidRDefault="00205C46">
      <w:pPr>
        <w:pStyle w:val="TableofFigures"/>
        <w:tabs>
          <w:tab w:val="right" w:leader="dot" w:pos="9926"/>
        </w:tabs>
        <w:rPr>
          <w:rFonts w:asciiTheme="minorHAnsi" w:hAnsiTheme="minorHAnsi"/>
          <w:noProof/>
        </w:rPr>
      </w:pPr>
      <w:hyperlink w:anchor="_Toc362873980" w:history="1">
        <w:r w:rsidR="00FB5A0A" w:rsidRPr="00214188">
          <w:rPr>
            <w:rStyle w:val="Hyperlink"/>
            <w:noProof/>
          </w:rPr>
          <w:t>Figure 17: Percentage of youth reporting cigarette use within the last 30 days from 2002 to 2012 (Source: CCYS)</w:t>
        </w:r>
        <w:r w:rsidR="00FB5A0A">
          <w:rPr>
            <w:noProof/>
            <w:webHidden/>
          </w:rPr>
          <w:tab/>
        </w:r>
        <w:r w:rsidR="00DD1BE8">
          <w:rPr>
            <w:noProof/>
            <w:webHidden/>
          </w:rPr>
          <w:fldChar w:fldCharType="begin"/>
        </w:r>
        <w:r w:rsidR="00FB5A0A">
          <w:rPr>
            <w:noProof/>
            <w:webHidden/>
          </w:rPr>
          <w:instrText xml:space="preserve"> PAGEREF _Toc362873980 \h </w:instrText>
        </w:r>
        <w:r w:rsidR="00DD1BE8">
          <w:rPr>
            <w:noProof/>
            <w:webHidden/>
          </w:rPr>
        </w:r>
        <w:r w:rsidR="00DD1BE8">
          <w:rPr>
            <w:noProof/>
            <w:webHidden/>
          </w:rPr>
          <w:fldChar w:fldCharType="separate"/>
        </w:r>
        <w:r w:rsidR="0002537D">
          <w:rPr>
            <w:noProof/>
            <w:webHidden/>
          </w:rPr>
          <w:t>18</w:t>
        </w:r>
        <w:r w:rsidR="00DD1BE8">
          <w:rPr>
            <w:noProof/>
            <w:webHidden/>
          </w:rPr>
          <w:fldChar w:fldCharType="end"/>
        </w:r>
      </w:hyperlink>
    </w:p>
    <w:p w:rsidR="00FB5A0A" w:rsidRDefault="00205C46">
      <w:pPr>
        <w:pStyle w:val="TableofFigures"/>
        <w:tabs>
          <w:tab w:val="right" w:leader="dot" w:pos="9926"/>
        </w:tabs>
        <w:rPr>
          <w:rFonts w:asciiTheme="minorHAnsi" w:hAnsiTheme="minorHAnsi"/>
          <w:noProof/>
        </w:rPr>
      </w:pPr>
      <w:hyperlink w:anchor="_Toc362873981" w:history="1">
        <w:r w:rsidR="00FB5A0A" w:rsidRPr="00214188">
          <w:rPr>
            <w:rStyle w:val="Hyperlink"/>
            <w:noProof/>
          </w:rPr>
          <w:t>Figure 18. Percentage of youth reporting cigarette use within the last 30 days by parish (Source: CCYS 2012)</w:t>
        </w:r>
        <w:r w:rsidR="00FB5A0A">
          <w:rPr>
            <w:noProof/>
            <w:webHidden/>
          </w:rPr>
          <w:tab/>
        </w:r>
        <w:r w:rsidR="00DD1BE8">
          <w:rPr>
            <w:noProof/>
            <w:webHidden/>
          </w:rPr>
          <w:fldChar w:fldCharType="begin"/>
        </w:r>
        <w:r w:rsidR="00FB5A0A">
          <w:rPr>
            <w:noProof/>
            <w:webHidden/>
          </w:rPr>
          <w:instrText xml:space="preserve"> PAGEREF _Toc362873981 \h </w:instrText>
        </w:r>
        <w:r w:rsidR="00DD1BE8">
          <w:rPr>
            <w:noProof/>
            <w:webHidden/>
          </w:rPr>
        </w:r>
        <w:r w:rsidR="00DD1BE8">
          <w:rPr>
            <w:noProof/>
            <w:webHidden/>
          </w:rPr>
          <w:fldChar w:fldCharType="separate"/>
        </w:r>
        <w:r w:rsidR="0002537D">
          <w:rPr>
            <w:noProof/>
            <w:webHidden/>
          </w:rPr>
          <w:t>19</w:t>
        </w:r>
        <w:r w:rsidR="00DD1BE8">
          <w:rPr>
            <w:noProof/>
            <w:webHidden/>
          </w:rPr>
          <w:fldChar w:fldCharType="end"/>
        </w:r>
      </w:hyperlink>
    </w:p>
    <w:p w:rsidR="00FB5A0A" w:rsidRDefault="00205C46">
      <w:pPr>
        <w:pStyle w:val="TableofFigures"/>
        <w:tabs>
          <w:tab w:val="right" w:leader="dot" w:pos="9926"/>
        </w:tabs>
        <w:rPr>
          <w:rFonts w:asciiTheme="minorHAnsi" w:hAnsiTheme="minorHAnsi"/>
          <w:noProof/>
        </w:rPr>
      </w:pPr>
      <w:hyperlink w:anchor="_Toc362873982" w:history="1">
        <w:r w:rsidR="00FB5A0A" w:rsidRPr="00214188">
          <w:rPr>
            <w:rStyle w:val="Hyperlink"/>
            <w:noProof/>
          </w:rPr>
          <w:t>Figure 19. Percentage of youth reporting heavy cigarette use within the last 30 days from 2002 to 2012 (Source: CCYS)</w:t>
        </w:r>
        <w:r w:rsidR="00FB5A0A">
          <w:rPr>
            <w:noProof/>
            <w:webHidden/>
          </w:rPr>
          <w:tab/>
        </w:r>
        <w:r w:rsidR="00DD1BE8">
          <w:rPr>
            <w:noProof/>
            <w:webHidden/>
          </w:rPr>
          <w:fldChar w:fldCharType="begin"/>
        </w:r>
        <w:r w:rsidR="00FB5A0A">
          <w:rPr>
            <w:noProof/>
            <w:webHidden/>
          </w:rPr>
          <w:instrText xml:space="preserve"> PAGEREF _Toc362873982 \h </w:instrText>
        </w:r>
        <w:r w:rsidR="00DD1BE8">
          <w:rPr>
            <w:noProof/>
            <w:webHidden/>
          </w:rPr>
        </w:r>
        <w:r w:rsidR="00DD1BE8">
          <w:rPr>
            <w:noProof/>
            <w:webHidden/>
          </w:rPr>
          <w:fldChar w:fldCharType="separate"/>
        </w:r>
        <w:r w:rsidR="0002537D">
          <w:rPr>
            <w:noProof/>
            <w:webHidden/>
          </w:rPr>
          <w:t>20</w:t>
        </w:r>
        <w:r w:rsidR="00DD1BE8">
          <w:rPr>
            <w:noProof/>
            <w:webHidden/>
          </w:rPr>
          <w:fldChar w:fldCharType="end"/>
        </w:r>
      </w:hyperlink>
    </w:p>
    <w:p w:rsidR="00FB5A0A" w:rsidRDefault="00205C46">
      <w:pPr>
        <w:pStyle w:val="TableofFigures"/>
        <w:tabs>
          <w:tab w:val="right" w:leader="dot" w:pos="9926"/>
        </w:tabs>
        <w:rPr>
          <w:rFonts w:asciiTheme="minorHAnsi" w:hAnsiTheme="minorHAnsi"/>
          <w:noProof/>
        </w:rPr>
      </w:pPr>
      <w:hyperlink w:anchor="_Toc362873983" w:history="1">
        <w:r w:rsidR="00FB5A0A" w:rsidRPr="00214188">
          <w:rPr>
            <w:rStyle w:val="Hyperlink"/>
            <w:noProof/>
          </w:rPr>
          <w:t>Figure 20. Percentage of youth reporting heavy cigarette use by parish (CCYS 2012)</w:t>
        </w:r>
        <w:r w:rsidR="00FB5A0A">
          <w:rPr>
            <w:noProof/>
            <w:webHidden/>
          </w:rPr>
          <w:tab/>
        </w:r>
        <w:r w:rsidR="00DD1BE8">
          <w:rPr>
            <w:noProof/>
            <w:webHidden/>
          </w:rPr>
          <w:fldChar w:fldCharType="begin"/>
        </w:r>
        <w:r w:rsidR="00FB5A0A">
          <w:rPr>
            <w:noProof/>
            <w:webHidden/>
          </w:rPr>
          <w:instrText xml:space="preserve"> PAGEREF _Toc362873983 \h </w:instrText>
        </w:r>
        <w:r w:rsidR="00DD1BE8">
          <w:rPr>
            <w:noProof/>
            <w:webHidden/>
          </w:rPr>
        </w:r>
        <w:r w:rsidR="00DD1BE8">
          <w:rPr>
            <w:noProof/>
            <w:webHidden/>
          </w:rPr>
          <w:fldChar w:fldCharType="separate"/>
        </w:r>
        <w:r w:rsidR="0002537D">
          <w:rPr>
            <w:noProof/>
            <w:webHidden/>
          </w:rPr>
          <w:t>21</w:t>
        </w:r>
        <w:r w:rsidR="00DD1BE8">
          <w:rPr>
            <w:noProof/>
            <w:webHidden/>
          </w:rPr>
          <w:fldChar w:fldCharType="end"/>
        </w:r>
      </w:hyperlink>
    </w:p>
    <w:p w:rsidR="00FB5A0A" w:rsidRDefault="00205C46">
      <w:pPr>
        <w:pStyle w:val="TableofFigures"/>
        <w:tabs>
          <w:tab w:val="right" w:leader="dot" w:pos="9926"/>
        </w:tabs>
        <w:rPr>
          <w:rFonts w:asciiTheme="minorHAnsi" w:hAnsiTheme="minorHAnsi"/>
          <w:noProof/>
        </w:rPr>
      </w:pPr>
      <w:hyperlink w:anchor="_Toc362873984" w:history="1">
        <w:r w:rsidR="00FB5A0A" w:rsidRPr="00214188">
          <w:rPr>
            <w:rStyle w:val="Hyperlink"/>
            <w:noProof/>
          </w:rPr>
          <w:t>Figure 21. Percentage of adults reporting heavy cigarette use from 2001 through 2011 (Source: BRFSS)</w:t>
        </w:r>
        <w:r w:rsidR="00FB5A0A">
          <w:rPr>
            <w:noProof/>
            <w:webHidden/>
          </w:rPr>
          <w:tab/>
        </w:r>
        <w:r w:rsidR="00DD1BE8">
          <w:rPr>
            <w:noProof/>
            <w:webHidden/>
          </w:rPr>
          <w:fldChar w:fldCharType="begin"/>
        </w:r>
        <w:r w:rsidR="00FB5A0A">
          <w:rPr>
            <w:noProof/>
            <w:webHidden/>
          </w:rPr>
          <w:instrText xml:space="preserve"> PAGEREF _Toc362873984 \h </w:instrText>
        </w:r>
        <w:r w:rsidR="00DD1BE8">
          <w:rPr>
            <w:noProof/>
            <w:webHidden/>
          </w:rPr>
        </w:r>
        <w:r w:rsidR="00DD1BE8">
          <w:rPr>
            <w:noProof/>
            <w:webHidden/>
          </w:rPr>
          <w:fldChar w:fldCharType="separate"/>
        </w:r>
        <w:r w:rsidR="0002537D">
          <w:rPr>
            <w:noProof/>
            <w:webHidden/>
          </w:rPr>
          <w:t>22</w:t>
        </w:r>
        <w:r w:rsidR="00DD1BE8">
          <w:rPr>
            <w:noProof/>
            <w:webHidden/>
          </w:rPr>
          <w:fldChar w:fldCharType="end"/>
        </w:r>
      </w:hyperlink>
    </w:p>
    <w:p w:rsidR="00FB5A0A" w:rsidRDefault="00205C46">
      <w:pPr>
        <w:pStyle w:val="TableofFigures"/>
        <w:tabs>
          <w:tab w:val="right" w:leader="dot" w:pos="9926"/>
        </w:tabs>
        <w:rPr>
          <w:rFonts w:asciiTheme="minorHAnsi" w:hAnsiTheme="minorHAnsi"/>
          <w:noProof/>
        </w:rPr>
      </w:pPr>
      <w:hyperlink w:anchor="_Toc362873985" w:history="1">
        <w:r w:rsidR="00FB5A0A" w:rsidRPr="00214188">
          <w:rPr>
            <w:rStyle w:val="Hyperlink"/>
            <w:noProof/>
          </w:rPr>
          <w:t>Figure 22. Percentage of adults reporting current cigarette use from 2001-2011 (Source: BRFSS)</w:t>
        </w:r>
        <w:r w:rsidR="00FB5A0A">
          <w:rPr>
            <w:noProof/>
            <w:webHidden/>
          </w:rPr>
          <w:tab/>
        </w:r>
        <w:r w:rsidR="00DD1BE8">
          <w:rPr>
            <w:noProof/>
            <w:webHidden/>
          </w:rPr>
          <w:fldChar w:fldCharType="begin"/>
        </w:r>
        <w:r w:rsidR="00FB5A0A">
          <w:rPr>
            <w:noProof/>
            <w:webHidden/>
          </w:rPr>
          <w:instrText xml:space="preserve"> PAGEREF _Toc362873985 \h </w:instrText>
        </w:r>
        <w:r w:rsidR="00DD1BE8">
          <w:rPr>
            <w:noProof/>
            <w:webHidden/>
          </w:rPr>
        </w:r>
        <w:r w:rsidR="00DD1BE8">
          <w:rPr>
            <w:noProof/>
            <w:webHidden/>
          </w:rPr>
          <w:fldChar w:fldCharType="separate"/>
        </w:r>
        <w:r w:rsidR="0002537D">
          <w:rPr>
            <w:noProof/>
            <w:webHidden/>
          </w:rPr>
          <w:t>22</w:t>
        </w:r>
        <w:r w:rsidR="00DD1BE8">
          <w:rPr>
            <w:noProof/>
            <w:webHidden/>
          </w:rPr>
          <w:fldChar w:fldCharType="end"/>
        </w:r>
      </w:hyperlink>
    </w:p>
    <w:p w:rsidR="00FB5A0A" w:rsidRDefault="00205C46">
      <w:pPr>
        <w:pStyle w:val="TableofFigures"/>
        <w:tabs>
          <w:tab w:val="right" w:leader="dot" w:pos="9926"/>
        </w:tabs>
        <w:rPr>
          <w:rFonts w:asciiTheme="minorHAnsi" w:hAnsiTheme="minorHAnsi"/>
          <w:noProof/>
        </w:rPr>
      </w:pPr>
      <w:hyperlink w:anchor="_Toc362873986" w:history="1">
        <w:r w:rsidR="00FB5A0A" w:rsidRPr="00214188">
          <w:rPr>
            <w:rStyle w:val="Hyperlink"/>
            <w:noProof/>
          </w:rPr>
          <w:t>Figure 23. Rates per 100,000 for lung cancer fatalities in Louisiana from 1999 to 2010 (Source: OPH, Center for Records and Statistics)</w:t>
        </w:r>
        <w:r w:rsidR="00FB5A0A">
          <w:rPr>
            <w:noProof/>
            <w:webHidden/>
          </w:rPr>
          <w:tab/>
        </w:r>
        <w:r w:rsidR="00DD1BE8">
          <w:rPr>
            <w:noProof/>
            <w:webHidden/>
          </w:rPr>
          <w:fldChar w:fldCharType="begin"/>
        </w:r>
        <w:r w:rsidR="00FB5A0A">
          <w:rPr>
            <w:noProof/>
            <w:webHidden/>
          </w:rPr>
          <w:instrText xml:space="preserve"> PAGEREF _Toc362873986 \h </w:instrText>
        </w:r>
        <w:r w:rsidR="00DD1BE8">
          <w:rPr>
            <w:noProof/>
            <w:webHidden/>
          </w:rPr>
        </w:r>
        <w:r w:rsidR="00DD1BE8">
          <w:rPr>
            <w:noProof/>
            <w:webHidden/>
          </w:rPr>
          <w:fldChar w:fldCharType="separate"/>
        </w:r>
        <w:r w:rsidR="0002537D">
          <w:rPr>
            <w:noProof/>
            <w:webHidden/>
          </w:rPr>
          <w:t>23</w:t>
        </w:r>
        <w:r w:rsidR="00DD1BE8">
          <w:rPr>
            <w:noProof/>
            <w:webHidden/>
          </w:rPr>
          <w:fldChar w:fldCharType="end"/>
        </w:r>
      </w:hyperlink>
    </w:p>
    <w:p w:rsidR="00FB5A0A" w:rsidRDefault="00205C46">
      <w:pPr>
        <w:pStyle w:val="TableofFigures"/>
        <w:tabs>
          <w:tab w:val="right" w:leader="dot" w:pos="9926"/>
        </w:tabs>
        <w:rPr>
          <w:rFonts w:asciiTheme="minorHAnsi" w:hAnsiTheme="minorHAnsi"/>
          <w:noProof/>
        </w:rPr>
      </w:pPr>
      <w:hyperlink w:anchor="_Toc362873987" w:history="1">
        <w:r w:rsidR="00FB5A0A" w:rsidRPr="00214188">
          <w:rPr>
            <w:rStyle w:val="Hyperlink"/>
            <w:noProof/>
          </w:rPr>
          <w:t>Figure 24. Percentage of youth in Louisiana using marijuana in the past 30 days (Source: CCYS)</w:t>
        </w:r>
        <w:r w:rsidR="00FB5A0A">
          <w:rPr>
            <w:noProof/>
            <w:webHidden/>
          </w:rPr>
          <w:tab/>
        </w:r>
        <w:r w:rsidR="00DD1BE8">
          <w:rPr>
            <w:noProof/>
            <w:webHidden/>
          </w:rPr>
          <w:fldChar w:fldCharType="begin"/>
        </w:r>
        <w:r w:rsidR="00FB5A0A">
          <w:rPr>
            <w:noProof/>
            <w:webHidden/>
          </w:rPr>
          <w:instrText xml:space="preserve"> PAGEREF _Toc362873987 \h </w:instrText>
        </w:r>
        <w:r w:rsidR="00DD1BE8">
          <w:rPr>
            <w:noProof/>
            <w:webHidden/>
          </w:rPr>
        </w:r>
        <w:r w:rsidR="00DD1BE8">
          <w:rPr>
            <w:noProof/>
            <w:webHidden/>
          </w:rPr>
          <w:fldChar w:fldCharType="separate"/>
        </w:r>
        <w:r w:rsidR="0002537D">
          <w:rPr>
            <w:noProof/>
            <w:webHidden/>
          </w:rPr>
          <w:t>24</w:t>
        </w:r>
        <w:r w:rsidR="00DD1BE8">
          <w:rPr>
            <w:noProof/>
            <w:webHidden/>
          </w:rPr>
          <w:fldChar w:fldCharType="end"/>
        </w:r>
      </w:hyperlink>
    </w:p>
    <w:p w:rsidR="00FB5A0A" w:rsidRDefault="00205C46">
      <w:pPr>
        <w:pStyle w:val="TableofFigures"/>
        <w:tabs>
          <w:tab w:val="right" w:leader="dot" w:pos="9926"/>
        </w:tabs>
        <w:rPr>
          <w:rFonts w:asciiTheme="minorHAnsi" w:hAnsiTheme="minorHAnsi"/>
          <w:noProof/>
        </w:rPr>
      </w:pPr>
      <w:hyperlink w:anchor="_Toc362873988" w:history="1">
        <w:r w:rsidR="00FB5A0A" w:rsidRPr="00214188">
          <w:rPr>
            <w:rStyle w:val="Hyperlink"/>
            <w:noProof/>
          </w:rPr>
          <w:t>Figure 25. 30-day use rates for 8</w:t>
        </w:r>
        <w:r w:rsidR="00FB5A0A" w:rsidRPr="00214188">
          <w:rPr>
            <w:rStyle w:val="Hyperlink"/>
            <w:noProof/>
            <w:vertAlign w:val="superscript"/>
          </w:rPr>
          <w:t>th</w:t>
        </w:r>
        <w:r w:rsidR="00FB5A0A" w:rsidRPr="00214188">
          <w:rPr>
            <w:rStyle w:val="Hyperlink"/>
            <w:noProof/>
          </w:rPr>
          <w:t>, 10</w:t>
        </w:r>
        <w:r w:rsidR="00FB5A0A" w:rsidRPr="00214188">
          <w:rPr>
            <w:rStyle w:val="Hyperlink"/>
            <w:noProof/>
            <w:vertAlign w:val="superscript"/>
          </w:rPr>
          <w:t>th</w:t>
        </w:r>
        <w:r w:rsidR="00FB5A0A" w:rsidRPr="00214188">
          <w:rPr>
            <w:rStyle w:val="Hyperlink"/>
            <w:noProof/>
          </w:rPr>
          <w:t>, and 12</w:t>
        </w:r>
        <w:r w:rsidR="00FB5A0A" w:rsidRPr="00214188">
          <w:rPr>
            <w:rStyle w:val="Hyperlink"/>
            <w:noProof/>
            <w:vertAlign w:val="superscript"/>
          </w:rPr>
          <w:t>th</w:t>
        </w:r>
        <w:r w:rsidR="00FB5A0A" w:rsidRPr="00214188">
          <w:rPr>
            <w:rStyle w:val="Hyperlink"/>
            <w:noProof/>
          </w:rPr>
          <w:t xml:space="preserve"> grade students by parish in Louisiana (Source: CCYS 2012)</w:t>
        </w:r>
        <w:r w:rsidR="00FB5A0A">
          <w:rPr>
            <w:noProof/>
            <w:webHidden/>
          </w:rPr>
          <w:tab/>
        </w:r>
        <w:r w:rsidR="00DD1BE8">
          <w:rPr>
            <w:noProof/>
            <w:webHidden/>
          </w:rPr>
          <w:fldChar w:fldCharType="begin"/>
        </w:r>
        <w:r w:rsidR="00FB5A0A">
          <w:rPr>
            <w:noProof/>
            <w:webHidden/>
          </w:rPr>
          <w:instrText xml:space="preserve"> PAGEREF _Toc362873988 \h </w:instrText>
        </w:r>
        <w:r w:rsidR="00DD1BE8">
          <w:rPr>
            <w:noProof/>
            <w:webHidden/>
          </w:rPr>
        </w:r>
        <w:r w:rsidR="00DD1BE8">
          <w:rPr>
            <w:noProof/>
            <w:webHidden/>
          </w:rPr>
          <w:fldChar w:fldCharType="separate"/>
        </w:r>
        <w:r w:rsidR="0002537D">
          <w:rPr>
            <w:noProof/>
            <w:webHidden/>
          </w:rPr>
          <w:t>25</w:t>
        </w:r>
        <w:r w:rsidR="00DD1BE8">
          <w:rPr>
            <w:noProof/>
            <w:webHidden/>
          </w:rPr>
          <w:fldChar w:fldCharType="end"/>
        </w:r>
      </w:hyperlink>
    </w:p>
    <w:p w:rsidR="00FB5A0A" w:rsidRDefault="00205C46">
      <w:pPr>
        <w:pStyle w:val="TableofFigures"/>
        <w:tabs>
          <w:tab w:val="right" w:leader="dot" w:pos="9926"/>
        </w:tabs>
        <w:rPr>
          <w:rFonts w:asciiTheme="minorHAnsi" w:hAnsiTheme="minorHAnsi"/>
          <w:noProof/>
        </w:rPr>
      </w:pPr>
      <w:hyperlink w:anchor="_Toc362873989" w:history="1">
        <w:r w:rsidR="00FB5A0A" w:rsidRPr="00214188">
          <w:rPr>
            <w:rStyle w:val="Hyperlink"/>
            <w:noProof/>
          </w:rPr>
          <w:t>Figure 26. Percentage of adults indicating marijuana use within the past 30 days (Source: BRFSS)</w:t>
        </w:r>
        <w:r w:rsidR="00FB5A0A">
          <w:rPr>
            <w:noProof/>
            <w:webHidden/>
          </w:rPr>
          <w:tab/>
        </w:r>
        <w:r w:rsidR="00DD1BE8">
          <w:rPr>
            <w:noProof/>
            <w:webHidden/>
          </w:rPr>
          <w:fldChar w:fldCharType="begin"/>
        </w:r>
        <w:r w:rsidR="00FB5A0A">
          <w:rPr>
            <w:noProof/>
            <w:webHidden/>
          </w:rPr>
          <w:instrText xml:space="preserve"> PAGEREF _Toc362873989 \h </w:instrText>
        </w:r>
        <w:r w:rsidR="00DD1BE8">
          <w:rPr>
            <w:noProof/>
            <w:webHidden/>
          </w:rPr>
        </w:r>
        <w:r w:rsidR="00DD1BE8">
          <w:rPr>
            <w:noProof/>
            <w:webHidden/>
          </w:rPr>
          <w:fldChar w:fldCharType="separate"/>
        </w:r>
        <w:r w:rsidR="0002537D">
          <w:rPr>
            <w:noProof/>
            <w:webHidden/>
          </w:rPr>
          <w:t>26</w:t>
        </w:r>
        <w:r w:rsidR="00DD1BE8">
          <w:rPr>
            <w:noProof/>
            <w:webHidden/>
          </w:rPr>
          <w:fldChar w:fldCharType="end"/>
        </w:r>
      </w:hyperlink>
    </w:p>
    <w:p w:rsidR="00FB5A0A" w:rsidRDefault="00205C46">
      <w:pPr>
        <w:pStyle w:val="TableofFigures"/>
        <w:tabs>
          <w:tab w:val="right" w:leader="dot" w:pos="9926"/>
        </w:tabs>
        <w:rPr>
          <w:rFonts w:asciiTheme="minorHAnsi" w:hAnsiTheme="minorHAnsi"/>
          <w:noProof/>
        </w:rPr>
      </w:pPr>
      <w:hyperlink w:anchor="_Toc362873990" w:history="1">
        <w:r w:rsidR="00FB5A0A" w:rsidRPr="00214188">
          <w:rPr>
            <w:rStyle w:val="Hyperlink"/>
            <w:noProof/>
          </w:rPr>
          <w:t>Figure 27. Percentage of adults meeting the criteria for drug dependence or abuse (Source: BRFSS)</w:t>
        </w:r>
        <w:r w:rsidR="00FB5A0A">
          <w:rPr>
            <w:noProof/>
            <w:webHidden/>
          </w:rPr>
          <w:tab/>
        </w:r>
        <w:r w:rsidR="00DD1BE8">
          <w:rPr>
            <w:noProof/>
            <w:webHidden/>
          </w:rPr>
          <w:fldChar w:fldCharType="begin"/>
        </w:r>
        <w:r w:rsidR="00FB5A0A">
          <w:rPr>
            <w:noProof/>
            <w:webHidden/>
          </w:rPr>
          <w:instrText xml:space="preserve"> PAGEREF _Toc362873990 \h </w:instrText>
        </w:r>
        <w:r w:rsidR="00DD1BE8">
          <w:rPr>
            <w:noProof/>
            <w:webHidden/>
          </w:rPr>
        </w:r>
        <w:r w:rsidR="00DD1BE8">
          <w:rPr>
            <w:noProof/>
            <w:webHidden/>
          </w:rPr>
          <w:fldChar w:fldCharType="separate"/>
        </w:r>
        <w:r w:rsidR="0002537D">
          <w:rPr>
            <w:noProof/>
            <w:webHidden/>
          </w:rPr>
          <w:t>26</w:t>
        </w:r>
        <w:r w:rsidR="00DD1BE8">
          <w:rPr>
            <w:noProof/>
            <w:webHidden/>
          </w:rPr>
          <w:fldChar w:fldCharType="end"/>
        </w:r>
      </w:hyperlink>
    </w:p>
    <w:p w:rsidR="00FB5A0A" w:rsidRDefault="00205C46">
      <w:pPr>
        <w:pStyle w:val="TableofFigures"/>
        <w:tabs>
          <w:tab w:val="right" w:leader="dot" w:pos="9926"/>
        </w:tabs>
        <w:rPr>
          <w:rFonts w:asciiTheme="minorHAnsi" w:hAnsiTheme="minorHAnsi"/>
          <w:noProof/>
        </w:rPr>
      </w:pPr>
      <w:hyperlink w:anchor="_Toc362873991" w:history="1">
        <w:r w:rsidR="00FB5A0A" w:rsidRPr="00214188">
          <w:rPr>
            <w:rStyle w:val="Hyperlink"/>
            <w:noProof/>
          </w:rPr>
          <w:t>Figure 28. Percentage of Students in 9th-12th Grade Who Reported Feeling So Sad for Two Weeks or More that They Stopped Doing Usual Activities in the Past Year : 2007-2011 (Source: YRBS)</w:t>
        </w:r>
        <w:r w:rsidR="00FB5A0A">
          <w:rPr>
            <w:noProof/>
            <w:webHidden/>
          </w:rPr>
          <w:tab/>
        </w:r>
        <w:r w:rsidR="00DD1BE8">
          <w:rPr>
            <w:noProof/>
            <w:webHidden/>
          </w:rPr>
          <w:fldChar w:fldCharType="begin"/>
        </w:r>
        <w:r w:rsidR="00FB5A0A">
          <w:rPr>
            <w:noProof/>
            <w:webHidden/>
          </w:rPr>
          <w:instrText xml:space="preserve"> PAGEREF _Toc362873991 \h </w:instrText>
        </w:r>
        <w:r w:rsidR="00DD1BE8">
          <w:rPr>
            <w:noProof/>
            <w:webHidden/>
          </w:rPr>
        </w:r>
        <w:r w:rsidR="00DD1BE8">
          <w:rPr>
            <w:noProof/>
            <w:webHidden/>
          </w:rPr>
          <w:fldChar w:fldCharType="separate"/>
        </w:r>
        <w:r w:rsidR="0002537D">
          <w:rPr>
            <w:noProof/>
            <w:webHidden/>
          </w:rPr>
          <w:t>28</w:t>
        </w:r>
        <w:r w:rsidR="00DD1BE8">
          <w:rPr>
            <w:noProof/>
            <w:webHidden/>
          </w:rPr>
          <w:fldChar w:fldCharType="end"/>
        </w:r>
      </w:hyperlink>
    </w:p>
    <w:p w:rsidR="00FB5A0A" w:rsidRDefault="00205C46">
      <w:pPr>
        <w:pStyle w:val="TableofFigures"/>
        <w:tabs>
          <w:tab w:val="right" w:leader="dot" w:pos="9926"/>
        </w:tabs>
        <w:rPr>
          <w:rFonts w:asciiTheme="minorHAnsi" w:hAnsiTheme="minorHAnsi"/>
          <w:noProof/>
        </w:rPr>
      </w:pPr>
      <w:hyperlink w:anchor="_Toc362873992" w:history="1">
        <w:r w:rsidR="00FB5A0A" w:rsidRPr="00214188">
          <w:rPr>
            <w:rStyle w:val="Hyperlink"/>
            <w:noProof/>
          </w:rPr>
          <w:t>Figure 29. Percentage of youth categorized as high in depressive symptoms. (Source: CCYS)</w:t>
        </w:r>
        <w:r w:rsidR="00FB5A0A">
          <w:rPr>
            <w:noProof/>
            <w:webHidden/>
          </w:rPr>
          <w:tab/>
        </w:r>
        <w:r w:rsidR="00DD1BE8">
          <w:rPr>
            <w:noProof/>
            <w:webHidden/>
          </w:rPr>
          <w:fldChar w:fldCharType="begin"/>
        </w:r>
        <w:r w:rsidR="00FB5A0A">
          <w:rPr>
            <w:noProof/>
            <w:webHidden/>
          </w:rPr>
          <w:instrText xml:space="preserve"> PAGEREF _Toc362873992 \h </w:instrText>
        </w:r>
        <w:r w:rsidR="00DD1BE8">
          <w:rPr>
            <w:noProof/>
            <w:webHidden/>
          </w:rPr>
        </w:r>
        <w:r w:rsidR="00DD1BE8">
          <w:rPr>
            <w:noProof/>
            <w:webHidden/>
          </w:rPr>
          <w:fldChar w:fldCharType="separate"/>
        </w:r>
        <w:r w:rsidR="0002537D">
          <w:rPr>
            <w:noProof/>
            <w:webHidden/>
          </w:rPr>
          <w:t>28</w:t>
        </w:r>
        <w:r w:rsidR="00DD1BE8">
          <w:rPr>
            <w:noProof/>
            <w:webHidden/>
          </w:rPr>
          <w:fldChar w:fldCharType="end"/>
        </w:r>
      </w:hyperlink>
    </w:p>
    <w:p w:rsidR="00FB5A0A" w:rsidRDefault="00205C46">
      <w:pPr>
        <w:pStyle w:val="TableofFigures"/>
        <w:tabs>
          <w:tab w:val="right" w:leader="dot" w:pos="9926"/>
        </w:tabs>
        <w:rPr>
          <w:rFonts w:asciiTheme="minorHAnsi" w:hAnsiTheme="minorHAnsi"/>
          <w:noProof/>
        </w:rPr>
      </w:pPr>
      <w:hyperlink w:anchor="_Toc362873993" w:history="1">
        <w:r w:rsidR="00FB5A0A" w:rsidRPr="00214188">
          <w:rPr>
            <w:rStyle w:val="Hyperlink"/>
            <w:noProof/>
          </w:rPr>
          <w:t>Figure 30. Percentage of adults reporting at least one major depressive episode over past year (Sources: NSDUH)</w:t>
        </w:r>
        <w:r w:rsidR="00FB5A0A">
          <w:rPr>
            <w:noProof/>
            <w:webHidden/>
          </w:rPr>
          <w:tab/>
        </w:r>
        <w:r w:rsidR="00DD1BE8">
          <w:rPr>
            <w:noProof/>
            <w:webHidden/>
          </w:rPr>
          <w:fldChar w:fldCharType="begin"/>
        </w:r>
        <w:r w:rsidR="00FB5A0A">
          <w:rPr>
            <w:noProof/>
            <w:webHidden/>
          </w:rPr>
          <w:instrText xml:space="preserve"> PAGEREF _Toc362873993 \h </w:instrText>
        </w:r>
        <w:r w:rsidR="00DD1BE8">
          <w:rPr>
            <w:noProof/>
            <w:webHidden/>
          </w:rPr>
        </w:r>
        <w:r w:rsidR="00DD1BE8">
          <w:rPr>
            <w:noProof/>
            <w:webHidden/>
          </w:rPr>
          <w:fldChar w:fldCharType="separate"/>
        </w:r>
        <w:r w:rsidR="0002537D">
          <w:rPr>
            <w:noProof/>
            <w:webHidden/>
          </w:rPr>
          <w:t>31</w:t>
        </w:r>
        <w:r w:rsidR="00DD1BE8">
          <w:rPr>
            <w:noProof/>
            <w:webHidden/>
          </w:rPr>
          <w:fldChar w:fldCharType="end"/>
        </w:r>
      </w:hyperlink>
    </w:p>
    <w:p w:rsidR="00FB5A0A" w:rsidRDefault="00205C46">
      <w:pPr>
        <w:pStyle w:val="TableofFigures"/>
        <w:tabs>
          <w:tab w:val="right" w:leader="dot" w:pos="9926"/>
        </w:tabs>
        <w:rPr>
          <w:rFonts w:asciiTheme="minorHAnsi" w:hAnsiTheme="minorHAnsi"/>
          <w:noProof/>
        </w:rPr>
      </w:pPr>
      <w:hyperlink w:anchor="_Toc362873994" w:history="1">
        <w:r w:rsidR="00FB5A0A" w:rsidRPr="00214188">
          <w:rPr>
            <w:rStyle w:val="Hyperlink"/>
            <w:noProof/>
          </w:rPr>
          <w:t>Figure 31. The percentage of adults 18 and over estimated to have experienced any mental illness in the past year. (Source: NSDUH)</w:t>
        </w:r>
        <w:r w:rsidR="00FB5A0A">
          <w:rPr>
            <w:noProof/>
            <w:webHidden/>
          </w:rPr>
          <w:tab/>
        </w:r>
        <w:r w:rsidR="00DD1BE8">
          <w:rPr>
            <w:noProof/>
            <w:webHidden/>
          </w:rPr>
          <w:fldChar w:fldCharType="begin"/>
        </w:r>
        <w:r w:rsidR="00FB5A0A">
          <w:rPr>
            <w:noProof/>
            <w:webHidden/>
          </w:rPr>
          <w:instrText xml:space="preserve"> PAGEREF _Toc362873994 \h </w:instrText>
        </w:r>
        <w:r w:rsidR="00DD1BE8">
          <w:rPr>
            <w:noProof/>
            <w:webHidden/>
          </w:rPr>
        </w:r>
        <w:r w:rsidR="00DD1BE8">
          <w:rPr>
            <w:noProof/>
            <w:webHidden/>
          </w:rPr>
          <w:fldChar w:fldCharType="separate"/>
        </w:r>
        <w:r w:rsidR="0002537D">
          <w:rPr>
            <w:noProof/>
            <w:webHidden/>
          </w:rPr>
          <w:t>31</w:t>
        </w:r>
        <w:r w:rsidR="00DD1BE8">
          <w:rPr>
            <w:noProof/>
            <w:webHidden/>
          </w:rPr>
          <w:fldChar w:fldCharType="end"/>
        </w:r>
      </w:hyperlink>
    </w:p>
    <w:p w:rsidR="00FB5A0A" w:rsidRDefault="00205C46">
      <w:pPr>
        <w:pStyle w:val="TableofFigures"/>
        <w:tabs>
          <w:tab w:val="right" w:leader="dot" w:pos="9926"/>
        </w:tabs>
        <w:rPr>
          <w:rFonts w:asciiTheme="minorHAnsi" w:hAnsiTheme="minorHAnsi"/>
          <w:noProof/>
        </w:rPr>
      </w:pPr>
      <w:hyperlink w:anchor="_Toc362873995" w:history="1">
        <w:r w:rsidR="00FB5A0A" w:rsidRPr="00214188">
          <w:rPr>
            <w:rStyle w:val="Hyperlink"/>
            <w:noProof/>
          </w:rPr>
          <w:t>Figure 32. The percentage of adults 18 and over estimated to have experienced a serious mental illness in the past year. (Sources NSDUH)</w:t>
        </w:r>
        <w:r w:rsidR="00FB5A0A">
          <w:rPr>
            <w:noProof/>
            <w:webHidden/>
          </w:rPr>
          <w:tab/>
        </w:r>
        <w:r w:rsidR="00DD1BE8">
          <w:rPr>
            <w:noProof/>
            <w:webHidden/>
          </w:rPr>
          <w:fldChar w:fldCharType="begin"/>
        </w:r>
        <w:r w:rsidR="00FB5A0A">
          <w:rPr>
            <w:noProof/>
            <w:webHidden/>
          </w:rPr>
          <w:instrText xml:space="preserve"> PAGEREF _Toc362873995 \h </w:instrText>
        </w:r>
        <w:r w:rsidR="00DD1BE8">
          <w:rPr>
            <w:noProof/>
            <w:webHidden/>
          </w:rPr>
        </w:r>
        <w:r w:rsidR="00DD1BE8">
          <w:rPr>
            <w:noProof/>
            <w:webHidden/>
          </w:rPr>
          <w:fldChar w:fldCharType="separate"/>
        </w:r>
        <w:r w:rsidR="0002537D">
          <w:rPr>
            <w:noProof/>
            <w:webHidden/>
          </w:rPr>
          <w:t>32</w:t>
        </w:r>
        <w:r w:rsidR="00DD1BE8">
          <w:rPr>
            <w:noProof/>
            <w:webHidden/>
          </w:rPr>
          <w:fldChar w:fldCharType="end"/>
        </w:r>
      </w:hyperlink>
    </w:p>
    <w:p w:rsidR="00FB5A0A" w:rsidRDefault="00205C46">
      <w:pPr>
        <w:pStyle w:val="TableofFigures"/>
        <w:tabs>
          <w:tab w:val="right" w:leader="dot" w:pos="9926"/>
        </w:tabs>
        <w:rPr>
          <w:rFonts w:asciiTheme="minorHAnsi" w:hAnsiTheme="minorHAnsi"/>
          <w:noProof/>
        </w:rPr>
      </w:pPr>
      <w:hyperlink w:anchor="_Toc362873996" w:history="1">
        <w:r w:rsidR="00FB5A0A" w:rsidRPr="00214188">
          <w:rPr>
            <w:rStyle w:val="Hyperlink"/>
            <w:noProof/>
          </w:rPr>
          <w:t>Figure 33. Percentage of Students in 9th-12th Grade Who Reported Making a Suicide Plan in the Past Year: 2007-2011 (Source: YRBS)</w:t>
        </w:r>
        <w:r w:rsidR="00FB5A0A">
          <w:rPr>
            <w:noProof/>
            <w:webHidden/>
          </w:rPr>
          <w:tab/>
        </w:r>
        <w:r w:rsidR="00DD1BE8">
          <w:rPr>
            <w:noProof/>
            <w:webHidden/>
          </w:rPr>
          <w:fldChar w:fldCharType="begin"/>
        </w:r>
        <w:r w:rsidR="00FB5A0A">
          <w:rPr>
            <w:noProof/>
            <w:webHidden/>
          </w:rPr>
          <w:instrText xml:space="preserve"> PAGEREF _Toc362873996 \h </w:instrText>
        </w:r>
        <w:r w:rsidR="00DD1BE8">
          <w:rPr>
            <w:noProof/>
            <w:webHidden/>
          </w:rPr>
        </w:r>
        <w:r w:rsidR="00DD1BE8">
          <w:rPr>
            <w:noProof/>
            <w:webHidden/>
          </w:rPr>
          <w:fldChar w:fldCharType="separate"/>
        </w:r>
        <w:r w:rsidR="0002537D">
          <w:rPr>
            <w:noProof/>
            <w:webHidden/>
          </w:rPr>
          <w:t>32</w:t>
        </w:r>
        <w:r w:rsidR="00DD1BE8">
          <w:rPr>
            <w:noProof/>
            <w:webHidden/>
          </w:rPr>
          <w:fldChar w:fldCharType="end"/>
        </w:r>
      </w:hyperlink>
    </w:p>
    <w:p w:rsidR="00FB5A0A" w:rsidRDefault="00205C46">
      <w:pPr>
        <w:pStyle w:val="TableofFigures"/>
        <w:tabs>
          <w:tab w:val="right" w:leader="dot" w:pos="9926"/>
        </w:tabs>
        <w:rPr>
          <w:rFonts w:asciiTheme="minorHAnsi" w:hAnsiTheme="minorHAnsi"/>
          <w:noProof/>
        </w:rPr>
      </w:pPr>
      <w:hyperlink w:anchor="_Toc362873997" w:history="1">
        <w:r w:rsidR="00FB5A0A" w:rsidRPr="00214188">
          <w:rPr>
            <w:rStyle w:val="Hyperlink"/>
            <w:noProof/>
          </w:rPr>
          <w:t>Figure 34. Percentage of Students in 9th-12th Grade Who Reported Attempting Suicide in the Past Year: 2007-2011 (Source: YRBS)</w:t>
        </w:r>
        <w:r w:rsidR="00FB5A0A">
          <w:rPr>
            <w:noProof/>
            <w:webHidden/>
          </w:rPr>
          <w:tab/>
        </w:r>
        <w:r w:rsidR="00DD1BE8">
          <w:rPr>
            <w:noProof/>
            <w:webHidden/>
          </w:rPr>
          <w:fldChar w:fldCharType="begin"/>
        </w:r>
        <w:r w:rsidR="00FB5A0A">
          <w:rPr>
            <w:noProof/>
            <w:webHidden/>
          </w:rPr>
          <w:instrText xml:space="preserve"> PAGEREF _Toc362873997 \h </w:instrText>
        </w:r>
        <w:r w:rsidR="00DD1BE8">
          <w:rPr>
            <w:noProof/>
            <w:webHidden/>
          </w:rPr>
        </w:r>
        <w:r w:rsidR="00DD1BE8">
          <w:rPr>
            <w:noProof/>
            <w:webHidden/>
          </w:rPr>
          <w:fldChar w:fldCharType="separate"/>
        </w:r>
        <w:r w:rsidR="0002537D">
          <w:rPr>
            <w:noProof/>
            <w:webHidden/>
          </w:rPr>
          <w:t>33</w:t>
        </w:r>
        <w:r w:rsidR="00DD1BE8">
          <w:rPr>
            <w:noProof/>
            <w:webHidden/>
          </w:rPr>
          <w:fldChar w:fldCharType="end"/>
        </w:r>
      </w:hyperlink>
    </w:p>
    <w:p w:rsidR="00FB5A0A" w:rsidRDefault="00205C46">
      <w:pPr>
        <w:pStyle w:val="TableofFigures"/>
        <w:tabs>
          <w:tab w:val="right" w:leader="dot" w:pos="9926"/>
        </w:tabs>
        <w:rPr>
          <w:rFonts w:asciiTheme="minorHAnsi" w:hAnsiTheme="minorHAnsi"/>
          <w:noProof/>
        </w:rPr>
      </w:pPr>
      <w:hyperlink w:anchor="_Toc362873998" w:history="1">
        <w:r w:rsidR="00FB5A0A" w:rsidRPr="00214188">
          <w:rPr>
            <w:rStyle w:val="Hyperlink"/>
            <w:noProof/>
          </w:rPr>
          <w:t>Figure 35. The percentage of adults 18 and over estimated to have seriously thought about suicide in the past year. (Sources: NSDUH)</w:t>
        </w:r>
        <w:r w:rsidR="00FB5A0A">
          <w:rPr>
            <w:noProof/>
            <w:webHidden/>
          </w:rPr>
          <w:tab/>
        </w:r>
        <w:r w:rsidR="00DD1BE8">
          <w:rPr>
            <w:noProof/>
            <w:webHidden/>
          </w:rPr>
          <w:fldChar w:fldCharType="begin"/>
        </w:r>
        <w:r w:rsidR="00FB5A0A">
          <w:rPr>
            <w:noProof/>
            <w:webHidden/>
          </w:rPr>
          <w:instrText xml:space="preserve"> PAGEREF _Toc362873998 \h </w:instrText>
        </w:r>
        <w:r w:rsidR="00DD1BE8">
          <w:rPr>
            <w:noProof/>
            <w:webHidden/>
          </w:rPr>
        </w:r>
        <w:r w:rsidR="00DD1BE8">
          <w:rPr>
            <w:noProof/>
            <w:webHidden/>
          </w:rPr>
          <w:fldChar w:fldCharType="separate"/>
        </w:r>
        <w:r w:rsidR="0002537D">
          <w:rPr>
            <w:noProof/>
            <w:webHidden/>
          </w:rPr>
          <w:t>33</w:t>
        </w:r>
        <w:r w:rsidR="00DD1BE8">
          <w:rPr>
            <w:noProof/>
            <w:webHidden/>
          </w:rPr>
          <w:fldChar w:fldCharType="end"/>
        </w:r>
      </w:hyperlink>
    </w:p>
    <w:p w:rsidR="00AF186C" w:rsidRDefault="00DD1BE8" w:rsidP="006D1A5D">
      <w:r>
        <w:fldChar w:fldCharType="end"/>
      </w:r>
    </w:p>
    <w:p w:rsidR="007B3E8A" w:rsidRDefault="007B3E8A" w:rsidP="006D1A5D"/>
    <w:p w:rsidR="00246AC6" w:rsidRDefault="00246AC6" w:rsidP="006D1A5D"/>
    <w:p w:rsidR="00246AC6" w:rsidRDefault="00246AC6" w:rsidP="006D1A5D"/>
    <w:p w:rsidR="00246AC6" w:rsidRDefault="00246AC6" w:rsidP="006D1A5D"/>
    <w:p w:rsidR="00246AC6" w:rsidRPr="00246AC6" w:rsidRDefault="00246AC6" w:rsidP="00246AC6">
      <w:pPr>
        <w:jc w:val="center"/>
        <w:rPr>
          <w:b/>
          <w:sz w:val="24"/>
        </w:rPr>
      </w:pPr>
      <w:r w:rsidRPr="00246AC6">
        <w:rPr>
          <w:b/>
          <w:sz w:val="24"/>
        </w:rPr>
        <w:t xml:space="preserve">Scan this QR code to access the online </w:t>
      </w:r>
      <w:r>
        <w:rPr>
          <w:b/>
          <w:sz w:val="24"/>
        </w:rPr>
        <w:t>repository</w:t>
      </w:r>
      <w:r w:rsidRPr="00246AC6">
        <w:rPr>
          <w:b/>
          <w:sz w:val="24"/>
        </w:rPr>
        <w:t xml:space="preserve"> of all Louisiana </w:t>
      </w:r>
      <w:r>
        <w:rPr>
          <w:b/>
          <w:sz w:val="24"/>
        </w:rPr>
        <w:br/>
      </w:r>
      <w:r w:rsidRPr="00246AC6">
        <w:rPr>
          <w:b/>
          <w:sz w:val="24"/>
        </w:rPr>
        <w:t>State Epidemiolog</w:t>
      </w:r>
      <w:r w:rsidR="00CD7EFD">
        <w:rPr>
          <w:b/>
          <w:sz w:val="24"/>
        </w:rPr>
        <w:t>y</w:t>
      </w:r>
      <w:r w:rsidRPr="00246AC6">
        <w:rPr>
          <w:b/>
          <w:sz w:val="24"/>
        </w:rPr>
        <w:t xml:space="preserve"> Workgroup </w:t>
      </w:r>
      <w:r>
        <w:rPr>
          <w:b/>
          <w:sz w:val="24"/>
        </w:rPr>
        <w:t xml:space="preserve">data </w:t>
      </w:r>
      <w:r w:rsidRPr="00246AC6">
        <w:rPr>
          <w:b/>
          <w:sz w:val="24"/>
        </w:rPr>
        <w:t xml:space="preserve">for </w:t>
      </w:r>
      <w:r>
        <w:rPr>
          <w:b/>
          <w:sz w:val="24"/>
        </w:rPr>
        <w:br/>
      </w:r>
      <w:r w:rsidRPr="00246AC6">
        <w:rPr>
          <w:b/>
          <w:sz w:val="24"/>
        </w:rPr>
        <w:t>substance abuse prevention and mental health promotion.</w:t>
      </w:r>
    </w:p>
    <w:p w:rsidR="00246AC6" w:rsidRDefault="00246AC6" w:rsidP="00246AC6">
      <w:pPr>
        <w:jc w:val="center"/>
      </w:pPr>
      <w:r>
        <w:rPr>
          <w:noProof/>
        </w:rPr>
        <w:drawing>
          <wp:inline distT="0" distB="0" distL="0" distR="0">
            <wp:extent cx="1171575" cy="11715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qrcod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71575" cy="1171575"/>
                    </a:xfrm>
                    <a:prstGeom prst="rect">
                      <a:avLst/>
                    </a:prstGeom>
                  </pic:spPr>
                </pic:pic>
              </a:graphicData>
            </a:graphic>
          </wp:inline>
        </w:drawing>
      </w:r>
    </w:p>
    <w:p w:rsidR="00246AC6" w:rsidRDefault="00205C46" w:rsidP="00246AC6">
      <w:pPr>
        <w:jc w:val="center"/>
      </w:pPr>
      <w:hyperlink r:id="rId14" w:history="1">
        <w:r w:rsidR="000D1034" w:rsidRPr="00381AC7">
          <w:rPr>
            <w:rStyle w:val="Hyperlink"/>
          </w:rPr>
          <w:t>http://www.gov.state.la.us/lasocialindicators</w:t>
        </w:r>
      </w:hyperlink>
      <w:r w:rsidR="00246AC6">
        <w:t xml:space="preserve"> </w:t>
      </w:r>
    </w:p>
    <w:p w:rsidR="00A034FF" w:rsidRDefault="00A034FF" w:rsidP="00246AC6">
      <w:pPr>
        <w:jc w:val="center"/>
      </w:pPr>
    </w:p>
    <w:p w:rsidR="00A034FF" w:rsidRDefault="00A034FF" w:rsidP="00A034FF">
      <w:pPr>
        <w:sectPr w:rsidR="00A034FF" w:rsidSect="007B3E8A">
          <w:footerReference w:type="default" r:id="rId15"/>
          <w:pgSz w:w="12240" w:h="15840"/>
          <w:pgMar w:top="1440" w:right="1152" w:bottom="1152" w:left="1152" w:header="720" w:footer="216" w:gutter="0"/>
          <w:pgNumType w:fmt="lowerRoman" w:start="1"/>
          <w:cols w:space="720"/>
          <w:docGrid w:linePitch="360"/>
        </w:sectPr>
      </w:pPr>
    </w:p>
    <w:p w:rsidR="00826AAD" w:rsidRDefault="007B3E8A" w:rsidP="006D1A5D">
      <w:pPr>
        <w:pStyle w:val="Heading1"/>
      </w:pPr>
      <w:bookmarkStart w:id="2" w:name="_Toc362873934"/>
      <w:r>
        <w:lastRenderedPageBreak/>
        <w:t xml:space="preserve">State </w:t>
      </w:r>
      <w:r w:rsidR="000925EF">
        <w:t xml:space="preserve">Epidemiology </w:t>
      </w:r>
      <w:r>
        <w:t xml:space="preserve">Workgroup </w:t>
      </w:r>
      <w:r w:rsidR="000F7E94">
        <w:t>Membership</w:t>
      </w:r>
      <w:bookmarkEnd w:id="2"/>
    </w:p>
    <w:p w:rsidR="000D1034" w:rsidRPr="000D1034" w:rsidRDefault="000D1034" w:rsidP="000D1034"/>
    <w:tbl>
      <w:tblPr>
        <w:tblW w:w="5000" w:type="pct"/>
        <w:tblLook w:val="04A0" w:firstRow="1" w:lastRow="0" w:firstColumn="1" w:lastColumn="0" w:noHBand="0" w:noVBand="1"/>
      </w:tblPr>
      <w:tblGrid>
        <w:gridCol w:w="6627"/>
        <w:gridCol w:w="3525"/>
      </w:tblGrid>
      <w:tr w:rsidR="00845005" w:rsidRPr="00845005" w:rsidTr="006D1A5D">
        <w:trPr>
          <w:trHeight w:val="300"/>
        </w:trPr>
        <w:tc>
          <w:tcPr>
            <w:tcW w:w="3264" w:type="pct"/>
            <w:tcBorders>
              <w:top w:val="nil"/>
              <w:left w:val="nil"/>
              <w:bottom w:val="nil"/>
              <w:right w:val="nil"/>
            </w:tcBorders>
            <w:shd w:val="clear" w:color="auto" w:fill="auto"/>
            <w:noWrap/>
            <w:vAlign w:val="bottom"/>
            <w:hideMark/>
          </w:tcPr>
          <w:p w:rsidR="00845005" w:rsidRPr="00845005" w:rsidRDefault="00845005" w:rsidP="006D1A5D">
            <w:pPr>
              <w:spacing w:after="0"/>
              <w:rPr>
                <w:rFonts w:eastAsia="Times New Roman"/>
              </w:rPr>
            </w:pPr>
            <w:r w:rsidRPr="00845005">
              <w:rPr>
                <w:rFonts w:eastAsia="Times New Roman"/>
              </w:rPr>
              <w:t>Capital Area Human Services District</w:t>
            </w:r>
          </w:p>
        </w:tc>
        <w:tc>
          <w:tcPr>
            <w:tcW w:w="1736" w:type="pct"/>
            <w:tcBorders>
              <w:top w:val="nil"/>
              <w:left w:val="nil"/>
              <w:bottom w:val="nil"/>
              <w:right w:val="nil"/>
            </w:tcBorders>
            <w:shd w:val="clear" w:color="auto" w:fill="auto"/>
            <w:noWrap/>
            <w:vAlign w:val="bottom"/>
            <w:hideMark/>
          </w:tcPr>
          <w:p w:rsidR="00845005" w:rsidRPr="00845005" w:rsidRDefault="00845005" w:rsidP="006D1A5D">
            <w:pPr>
              <w:spacing w:after="0"/>
              <w:rPr>
                <w:rFonts w:eastAsia="Times New Roman"/>
              </w:rPr>
            </w:pPr>
            <w:r w:rsidRPr="00845005">
              <w:rPr>
                <w:rFonts w:eastAsia="Times New Roman"/>
              </w:rPr>
              <w:t xml:space="preserve">Vivian </w:t>
            </w:r>
            <w:proofErr w:type="spellStart"/>
            <w:r w:rsidRPr="00845005">
              <w:rPr>
                <w:rFonts w:eastAsia="Times New Roman"/>
              </w:rPr>
              <w:t>Gettys</w:t>
            </w:r>
            <w:proofErr w:type="spellEnd"/>
          </w:p>
        </w:tc>
      </w:tr>
      <w:tr w:rsidR="00845005" w:rsidRPr="00845005" w:rsidTr="006D1A5D">
        <w:trPr>
          <w:trHeight w:val="300"/>
        </w:trPr>
        <w:tc>
          <w:tcPr>
            <w:tcW w:w="3264" w:type="pct"/>
            <w:tcBorders>
              <w:top w:val="nil"/>
              <w:left w:val="nil"/>
              <w:bottom w:val="nil"/>
              <w:right w:val="nil"/>
            </w:tcBorders>
            <w:shd w:val="clear" w:color="auto" w:fill="auto"/>
            <w:noWrap/>
            <w:vAlign w:val="bottom"/>
            <w:hideMark/>
          </w:tcPr>
          <w:p w:rsidR="00845005" w:rsidRPr="00845005" w:rsidRDefault="000D1034" w:rsidP="006D1A5D">
            <w:pPr>
              <w:spacing w:after="0"/>
              <w:rPr>
                <w:rFonts w:eastAsia="Times New Roman"/>
              </w:rPr>
            </w:pPr>
            <w:r>
              <w:rPr>
                <w:rFonts w:eastAsia="Times New Roman"/>
              </w:rPr>
              <w:t xml:space="preserve">Louisiana </w:t>
            </w:r>
            <w:r w:rsidR="00845005" w:rsidRPr="00845005">
              <w:rPr>
                <w:rFonts w:eastAsia="Times New Roman"/>
              </w:rPr>
              <w:t>Commission on Law Enforcement</w:t>
            </w:r>
          </w:p>
        </w:tc>
        <w:tc>
          <w:tcPr>
            <w:tcW w:w="1736" w:type="pct"/>
            <w:tcBorders>
              <w:top w:val="nil"/>
              <w:left w:val="nil"/>
              <w:bottom w:val="nil"/>
              <w:right w:val="nil"/>
            </w:tcBorders>
            <w:shd w:val="clear" w:color="auto" w:fill="auto"/>
            <w:noWrap/>
            <w:vAlign w:val="bottom"/>
            <w:hideMark/>
          </w:tcPr>
          <w:p w:rsidR="00845005" w:rsidRPr="00845005" w:rsidRDefault="000D1034" w:rsidP="006D1A5D">
            <w:pPr>
              <w:spacing w:after="0"/>
              <w:rPr>
                <w:rFonts w:eastAsia="Times New Roman"/>
              </w:rPr>
            </w:pPr>
            <w:r>
              <w:rPr>
                <w:rFonts w:eastAsia="Times New Roman"/>
              </w:rPr>
              <w:t>Opal West</w:t>
            </w:r>
          </w:p>
        </w:tc>
      </w:tr>
      <w:tr w:rsidR="00845005" w:rsidRPr="00845005" w:rsidTr="006D1A5D">
        <w:trPr>
          <w:trHeight w:val="300"/>
        </w:trPr>
        <w:tc>
          <w:tcPr>
            <w:tcW w:w="3264" w:type="pct"/>
            <w:tcBorders>
              <w:top w:val="nil"/>
              <w:left w:val="nil"/>
              <w:bottom w:val="nil"/>
              <w:right w:val="nil"/>
            </w:tcBorders>
            <w:shd w:val="clear" w:color="auto" w:fill="auto"/>
            <w:noWrap/>
            <w:vAlign w:val="bottom"/>
            <w:hideMark/>
          </w:tcPr>
          <w:p w:rsidR="00845005" w:rsidRPr="00845005" w:rsidRDefault="00845005" w:rsidP="006D1A5D">
            <w:pPr>
              <w:spacing w:after="0"/>
              <w:rPr>
                <w:rFonts w:eastAsia="Times New Roman"/>
              </w:rPr>
            </w:pPr>
            <w:r w:rsidRPr="00845005">
              <w:rPr>
                <w:rFonts w:eastAsia="Times New Roman"/>
              </w:rPr>
              <w:t>Department of Education</w:t>
            </w:r>
          </w:p>
        </w:tc>
        <w:tc>
          <w:tcPr>
            <w:tcW w:w="1736" w:type="pct"/>
            <w:tcBorders>
              <w:top w:val="nil"/>
              <w:left w:val="nil"/>
              <w:bottom w:val="nil"/>
              <w:right w:val="nil"/>
            </w:tcBorders>
            <w:shd w:val="clear" w:color="auto" w:fill="auto"/>
            <w:noWrap/>
            <w:vAlign w:val="bottom"/>
            <w:hideMark/>
          </w:tcPr>
          <w:p w:rsidR="00845005" w:rsidRPr="00845005" w:rsidRDefault="00845005" w:rsidP="006D1A5D">
            <w:pPr>
              <w:spacing w:after="0"/>
              <w:rPr>
                <w:rFonts w:eastAsia="Times New Roman"/>
              </w:rPr>
            </w:pPr>
            <w:r w:rsidRPr="00845005">
              <w:rPr>
                <w:rFonts w:eastAsia="Times New Roman"/>
              </w:rPr>
              <w:t>Lillie Burns</w:t>
            </w:r>
          </w:p>
        </w:tc>
      </w:tr>
      <w:tr w:rsidR="00845005" w:rsidRPr="00845005" w:rsidTr="006D1A5D">
        <w:trPr>
          <w:trHeight w:val="300"/>
        </w:trPr>
        <w:tc>
          <w:tcPr>
            <w:tcW w:w="3264" w:type="pct"/>
            <w:tcBorders>
              <w:top w:val="nil"/>
              <w:left w:val="nil"/>
              <w:bottom w:val="nil"/>
              <w:right w:val="nil"/>
            </w:tcBorders>
            <w:shd w:val="clear" w:color="auto" w:fill="auto"/>
            <w:noWrap/>
            <w:vAlign w:val="bottom"/>
            <w:hideMark/>
          </w:tcPr>
          <w:p w:rsidR="00845005" w:rsidRPr="00845005" w:rsidRDefault="00845005" w:rsidP="006D1A5D">
            <w:pPr>
              <w:spacing w:after="0"/>
              <w:rPr>
                <w:rFonts w:eastAsia="Times New Roman"/>
              </w:rPr>
            </w:pPr>
            <w:r w:rsidRPr="00845005">
              <w:rPr>
                <w:rFonts w:eastAsia="Times New Roman"/>
              </w:rPr>
              <w:t>Department of Health and Hospitals, Office of the Secretary</w:t>
            </w:r>
          </w:p>
        </w:tc>
        <w:tc>
          <w:tcPr>
            <w:tcW w:w="1736" w:type="pct"/>
            <w:tcBorders>
              <w:top w:val="nil"/>
              <w:left w:val="nil"/>
              <w:bottom w:val="nil"/>
              <w:right w:val="nil"/>
            </w:tcBorders>
            <w:shd w:val="clear" w:color="auto" w:fill="auto"/>
            <w:noWrap/>
            <w:vAlign w:val="bottom"/>
            <w:hideMark/>
          </w:tcPr>
          <w:p w:rsidR="00845005" w:rsidRPr="00845005" w:rsidRDefault="00845005" w:rsidP="006D1A5D">
            <w:pPr>
              <w:spacing w:after="0"/>
              <w:rPr>
                <w:rFonts w:eastAsia="Times New Roman"/>
              </w:rPr>
            </w:pPr>
            <w:r w:rsidRPr="00845005">
              <w:rPr>
                <w:rFonts w:eastAsia="Times New Roman"/>
              </w:rPr>
              <w:t xml:space="preserve">Robert </w:t>
            </w:r>
            <w:proofErr w:type="spellStart"/>
            <w:r w:rsidRPr="00845005">
              <w:rPr>
                <w:rFonts w:eastAsia="Times New Roman"/>
              </w:rPr>
              <w:t>Starszak</w:t>
            </w:r>
            <w:proofErr w:type="spellEnd"/>
          </w:p>
        </w:tc>
      </w:tr>
      <w:tr w:rsidR="00845005" w:rsidRPr="00845005" w:rsidTr="000D1034">
        <w:trPr>
          <w:trHeight w:val="300"/>
        </w:trPr>
        <w:tc>
          <w:tcPr>
            <w:tcW w:w="3264" w:type="pct"/>
            <w:tcBorders>
              <w:top w:val="nil"/>
              <w:left w:val="nil"/>
              <w:bottom w:val="nil"/>
              <w:right w:val="nil"/>
            </w:tcBorders>
            <w:shd w:val="clear" w:color="auto" w:fill="auto"/>
            <w:noWrap/>
            <w:vAlign w:val="bottom"/>
          </w:tcPr>
          <w:p w:rsidR="00845005" w:rsidRPr="00845005" w:rsidRDefault="000D1034" w:rsidP="006D1A5D">
            <w:pPr>
              <w:spacing w:after="0"/>
              <w:rPr>
                <w:rFonts w:eastAsia="Times New Roman"/>
              </w:rPr>
            </w:pPr>
            <w:r>
              <w:rPr>
                <w:rFonts w:eastAsia="Times New Roman"/>
              </w:rPr>
              <w:t>Office of Behavioral Health, Mental Health</w:t>
            </w:r>
          </w:p>
        </w:tc>
        <w:tc>
          <w:tcPr>
            <w:tcW w:w="1736" w:type="pct"/>
            <w:tcBorders>
              <w:top w:val="nil"/>
              <w:left w:val="nil"/>
              <w:bottom w:val="nil"/>
              <w:right w:val="nil"/>
            </w:tcBorders>
            <w:shd w:val="clear" w:color="auto" w:fill="auto"/>
            <w:noWrap/>
            <w:vAlign w:val="bottom"/>
          </w:tcPr>
          <w:p w:rsidR="00845005" w:rsidRPr="00845005" w:rsidRDefault="000D1034" w:rsidP="006D1A5D">
            <w:pPr>
              <w:spacing w:after="0"/>
              <w:rPr>
                <w:rFonts w:eastAsia="Times New Roman"/>
              </w:rPr>
            </w:pPr>
            <w:r>
              <w:rPr>
                <w:rFonts w:eastAsia="Times New Roman"/>
              </w:rPr>
              <w:t>Terri Cochran</w:t>
            </w:r>
          </w:p>
        </w:tc>
      </w:tr>
      <w:tr w:rsidR="00845005" w:rsidRPr="00845005" w:rsidTr="006D1A5D">
        <w:trPr>
          <w:trHeight w:val="300"/>
        </w:trPr>
        <w:tc>
          <w:tcPr>
            <w:tcW w:w="3264" w:type="pct"/>
            <w:tcBorders>
              <w:top w:val="nil"/>
              <w:left w:val="nil"/>
              <w:bottom w:val="nil"/>
              <w:right w:val="nil"/>
            </w:tcBorders>
            <w:shd w:val="clear" w:color="auto" w:fill="auto"/>
            <w:noWrap/>
            <w:vAlign w:val="bottom"/>
            <w:hideMark/>
          </w:tcPr>
          <w:p w:rsidR="00845005" w:rsidRPr="00845005" w:rsidRDefault="00845005" w:rsidP="006D1A5D">
            <w:pPr>
              <w:spacing w:after="0"/>
              <w:rPr>
                <w:rFonts w:eastAsia="Times New Roman"/>
              </w:rPr>
            </w:pPr>
            <w:r w:rsidRPr="00845005">
              <w:rPr>
                <w:rFonts w:eastAsia="Times New Roman"/>
              </w:rPr>
              <w:t>Drug Enforcement Administration</w:t>
            </w:r>
          </w:p>
        </w:tc>
        <w:tc>
          <w:tcPr>
            <w:tcW w:w="1736" w:type="pct"/>
            <w:tcBorders>
              <w:top w:val="nil"/>
              <w:left w:val="nil"/>
              <w:bottom w:val="nil"/>
              <w:right w:val="nil"/>
            </w:tcBorders>
            <w:shd w:val="clear" w:color="auto" w:fill="auto"/>
            <w:noWrap/>
            <w:vAlign w:val="bottom"/>
            <w:hideMark/>
          </w:tcPr>
          <w:p w:rsidR="00845005" w:rsidRPr="00845005" w:rsidRDefault="00845005" w:rsidP="006D1A5D">
            <w:pPr>
              <w:spacing w:after="0"/>
              <w:rPr>
                <w:rFonts w:eastAsia="Times New Roman"/>
              </w:rPr>
            </w:pPr>
            <w:r w:rsidRPr="00845005">
              <w:rPr>
                <w:rFonts w:eastAsia="Times New Roman"/>
              </w:rPr>
              <w:t>Henry Richardson</w:t>
            </w:r>
          </w:p>
        </w:tc>
      </w:tr>
      <w:tr w:rsidR="00845005" w:rsidRPr="00845005" w:rsidTr="006D1A5D">
        <w:trPr>
          <w:trHeight w:val="300"/>
        </w:trPr>
        <w:tc>
          <w:tcPr>
            <w:tcW w:w="3264" w:type="pct"/>
            <w:tcBorders>
              <w:top w:val="nil"/>
              <w:left w:val="nil"/>
              <w:bottom w:val="nil"/>
              <w:right w:val="nil"/>
            </w:tcBorders>
            <w:shd w:val="clear" w:color="auto" w:fill="auto"/>
            <w:noWrap/>
            <w:vAlign w:val="bottom"/>
            <w:hideMark/>
          </w:tcPr>
          <w:p w:rsidR="00845005" w:rsidRPr="00845005" w:rsidRDefault="000D1034" w:rsidP="006D1A5D">
            <w:pPr>
              <w:spacing w:after="0"/>
              <w:rPr>
                <w:rFonts w:eastAsia="Times New Roman"/>
              </w:rPr>
            </w:pPr>
            <w:r>
              <w:rPr>
                <w:rFonts w:eastAsia="Times New Roman"/>
              </w:rPr>
              <w:t xml:space="preserve">Louisiana </w:t>
            </w:r>
            <w:r w:rsidR="00845005" w:rsidRPr="00845005">
              <w:rPr>
                <w:rFonts w:eastAsia="Times New Roman"/>
              </w:rPr>
              <w:t>Highway Safety Commission</w:t>
            </w:r>
          </w:p>
        </w:tc>
        <w:tc>
          <w:tcPr>
            <w:tcW w:w="1736" w:type="pct"/>
            <w:tcBorders>
              <w:top w:val="nil"/>
              <w:left w:val="nil"/>
              <w:bottom w:val="nil"/>
              <w:right w:val="nil"/>
            </w:tcBorders>
            <w:shd w:val="clear" w:color="auto" w:fill="auto"/>
            <w:noWrap/>
            <w:vAlign w:val="bottom"/>
            <w:hideMark/>
          </w:tcPr>
          <w:p w:rsidR="00845005" w:rsidRPr="00845005" w:rsidRDefault="00845005" w:rsidP="006D1A5D">
            <w:pPr>
              <w:spacing w:after="0"/>
              <w:rPr>
                <w:rFonts w:eastAsia="Times New Roman"/>
              </w:rPr>
            </w:pPr>
            <w:r w:rsidRPr="00845005">
              <w:rPr>
                <w:rFonts w:eastAsia="Times New Roman"/>
              </w:rPr>
              <w:t>Cathy Childers</w:t>
            </w:r>
          </w:p>
        </w:tc>
      </w:tr>
      <w:tr w:rsidR="00845005" w:rsidRPr="00845005" w:rsidTr="006D1A5D">
        <w:trPr>
          <w:trHeight w:val="300"/>
        </w:trPr>
        <w:tc>
          <w:tcPr>
            <w:tcW w:w="3264" w:type="pct"/>
            <w:tcBorders>
              <w:top w:val="nil"/>
              <w:left w:val="nil"/>
              <w:bottom w:val="nil"/>
              <w:right w:val="nil"/>
            </w:tcBorders>
            <w:shd w:val="clear" w:color="auto" w:fill="auto"/>
            <w:noWrap/>
            <w:vAlign w:val="bottom"/>
            <w:hideMark/>
          </w:tcPr>
          <w:p w:rsidR="00845005" w:rsidRPr="00845005" w:rsidRDefault="00845005" w:rsidP="006D1A5D">
            <w:pPr>
              <w:spacing w:after="0"/>
              <w:rPr>
                <w:rFonts w:eastAsia="Times New Roman"/>
              </w:rPr>
            </w:pPr>
            <w:r w:rsidRPr="00845005">
              <w:rPr>
                <w:rFonts w:eastAsia="Times New Roman"/>
              </w:rPr>
              <w:t>Historically Black Colleges &amp; Universities</w:t>
            </w:r>
          </w:p>
        </w:tc>
        <w:tc>
          <w:tcPr>
            <w:tcW w:w="1736" w:type="pct"/>
            <w:tcBorders>
              <w:top w:val="nil"/>
              <w:left w:val="nil"/>
              <w:bottom w:val="nil"/>
              <w:right w:val="nil"/>
            </w:tcBorders>
            <w:shd w:val="clear" w:color="auto" w:fill="auto"/>
            <w:noWrap/>
            <w:vAlign w:val="bottom"/>
            <w:hideMark/>
          </w:tcPr>
          <w:p w:rsidR="00845005" w:rsidRPr="00845005" w:rsidRDefault="00845005" w:rsidP="006D1A5D">
            <w:pPr>
              <w:spacing w:after="0"/>
              <w:rPr>
                <w:rFonts w:eastAsia="Times New Roman"/>
              </w:rPr>
            </w:pPr>
            <w:proofErr w:type="spellStart"/>
            <w:r w:rsidRPr="00845005">
              <w:rPr>
                <w:rFonts w:eastAsia="Times New Roman"/>
              </w:rPr>
              <w:t>Murelle</w:t>
            </w:r>
            <w:proofErr w:type="spellEnd"/>
            <w:r w:rsidRPr="00845005">
              <w:rPr>
                <w:rFonts w:eastAsia="Times New Roman"/>
              </w:rPr>
              <w:t xml:space="preserve"> Harrison, Ph.D.</w:t>
            </w:r>
          </w:p>
        </w:tc>
      </w:tr>
      <w:tr w:rsidR="00845005" w:rsidRPr="00845005" w:rsidTr="006D1A5D">
        <w:trPr>
          <w:trHeight w:val="300"/>
        </w:trPr>
        <w:tc>
          <w:tcPr>
            <w:tcW w:w="3264" w:type="pct"/>
            <w:tcBorders>
              <w:top w:val="nil"/>
              <w:left w:val="nil"/>
              <w:bottom w:val="nil"/>
              <w:right w:val="nil"/>
            </w:tcBorders>
            <w:shd w:val="clear" w:color="auto" w:fill="auto"/>
            <w:noWrap/>
            <w:vAlign w:val="bottom"/>
            <w:hideMark/>
          </w:tcPr>
          <w:p w:rsidR="00845005" w:rsidRPr="00845005" w:rsidRDefault="00845005" w:rsidP="006D1A5D">
            <w:pPr>
              <w:spacing w:after="0"/>
              <w:rPr>
                <w:rFonts w:eastAsia="Times New Roman"/>
              </w:rPr>
            </w:pPr>
            <w:r w:rsidRPr="00845005">
              <w:rPr>
                <w:rFonts w:eastAsia="Times New Roman"/>
              </w:rPr>
              <w:t>Center Addressing Substance Abuse in Collegiate Communities</w:t>
            </w:r>
          </w:p>
        </w:tc>
        <w:tc>
          <w:tcPr>
            <w:tcW w:w="1736" w:type="pct"/>
            <w:tcBorders>
              <w:top w:val="nil"/>
              <w:left w:val="nil"/>
              <w:bottom w:val="nil"/>
              <w:right w:val="nil"/>
            </w:tcBorders>
            <w:shd w:val="clear" w:color="auto" w:fill="auto"/>
            <w:noWrap/>
            <w:vAlign w:val="bottom"/>
            <w:hideMark/>
          </w:tcPr>
          <w:p w:rsidR="00845005" w:rsidRPr="00845005" w:rsidRDefault="00845005" w:rsidP="006D1A5D">
            <w:pPr>
              <w:spacing w:after="0"/>
              <w:rPr>
                <w:rFonts w:eastAsia="Times New Roman"/>
              </w:rPr>
            </w:pPr>
            <w:r w:rsidRPr="00845005">
              <w:rPr>
                <w:rFonts w:eastAsia="Times New Roman"/>
              </w:rPr>
              <w:t>Bret Blackmon</w:t>
            </w:r>
          </w:p>
        </w:tc>
      </w:tr>
      <w:tr w:rsidR="00845005" w:rsidRPr="00845005" w:rsidTr="006D1A5D">
        <w:trPr>
          <w:trHeight w:val="300"/>
        </w:trPr>
        <w:tc>
          <w:tcPr>
            <w:tcW w:w="3264" w:type="pct"/>
            <w:tcBorders>
              <w:top w:val="nil"/>
              <w:left w:val="nil"/>
              <w:bottom w:val="nil"/>
              <w:right w:val="nil"/>
            </w:tcBorders>
            <w:shd w:val="clear" w:color="auto" w:fill="auto"/>
            <w:noWrap/>
            <w:vAlign w:val="bottom"/>
            <w:hideMark/>
          </w:tcPr>
          <w:p w:rsidR="00845005" w:rsidRPr="00845005" w:rsidRDefault="000D1034" w:rsidP="006D1A5D">
            <w:pPr>
              <w:spacing w:after="0"/>
              <w:rPr>
                <w:rFonts w:eastAsia="Times New Roman"/>
              </w:rPr>
            </w:pPr>
            <w:r>
              <w:rPr>
                <w:rFonts w:eastAsia="Times New Roman"/>
              </w:rPr>
              <w:t xml:space="preserve">Louisiana </w:t>
            </w:r>
            <w:r w:rsidR="00845005" w:rsidRPr="00845005">
              <w:rPr>
                <w:rFonts w:eastAsia="Times New Roman"/>
              </w:rPr>
              <w:t>National Guard</w:t>
            </w:r>
          </w:p>
        </w:tc>
        <w:tc>
          <w:tcPr>
            <w:tcW w:w="1736" w:type="pct"/>
            <w:tcBorders>
              <w:top w:val="nil"/>
              <w:left w:val="nil"/>
              <w:bottom w:val="nil"/>
              <w:right w:val="nil"/>
            </w:tcBorders>
            <w:shd w:val="clear" w:color="auto" w:fill="auto"/>
            <w:noWrap/>
            <w:vAlign w:val="bottom"/>
            <w:hideMark/>
          </w:tcPr>
          <w:p w:rsidR="00845005" w:rsidRPr="00845005" w:rsidRDefault="00845005" w:rsidP="006D1A5D">
            <w:pPr>
              <w:spacing w:after="0"/>
              <w:rPr>
                <w:rFonts w:eastAsia="Times New Roman"/>
              </w:rPr>
            </w:pPr>
            <w:r w:rsidRPr="00845005">
              <w:rPr>
                <w:rFonts w:eastAsia="Times New Roman"/>
              </w:rPr>
              <w:t>Vacant</w:t>
            </w:r>
          </w:p>
        </w:tc>
      </w:tr>
      <w:tr w:rsidR="00845005" w:rsidRPr="00845005" w:rsidTr="006D1A5D">
        <w:trPr>
          <w:trHeight w:val="300"/>
        </w:trPr>
        <w:tc>
          <w:tcPr>
            <w:tcW w:w="3264" w:type="pct"/>
            <w:tcBorders>
              <w:top w:val="nil"/>
              <w:left w:val="nil"/>
              <w:bottom w:val="nil"/>
              <w:right w:val="nil"/>
            </w:tcBorders>
            <w:shd w:val="clear" w:color="auto" w:fill="auto"/>
            <w:noWrap/>
            <w:vAlign w:val="bottom"/>
            <w:hideMark/>
          </w:tcPr>
          <w:p w:rsidR="00845005" w:rsidRPr="00845005" w:rsidRDefault="00845005" w:rsidP="006D1A5D">
            <w:pPr>
              <w:spacing w:after="0"/>
              <w:rPr>
                <w:rFonts w:eastAsia="Times New Roman"/>
              </w:rPr>
            </w:pPr>
            <w:r w:rsidRPr="00845005">
              <w:rPr>
                <w:rFonts w:eastAsia="Times New Roman"/>
              </w:rPr>
              <w:t>Office of Behavioral Health, Prevention</w:t>
            </w:r>
          </w:p>
        </w:tc>
        <w:tc>
          <w:tcPr>
            <w:tcW w:w="1736" w:type="pct"/>
            <w:tcBorders>
              <w:top w:val="nil"/>
              <w:left w:val="nil"/>
              <w:bottom w:val="nil"/>
              <w:right w:val="nil"/>
            </w:tcBorders>
            <w:shd w:val="clear" w:color="auto" w:fill="auto"/>
            <w:noWrap/>
            <w:vAlign w:val="bottom"/>
            <w:hideMark/>
          </w:tcPr>
          <w:p w:rsidR="00845005" w:rsidRPr="00845005" w:rsidRDefault="00845005" w:rsidP="006D1A5D">
            <w:pPr>
              <w:spacing w:after="0"/>
              <w:rPr>
                <w:rFonts w:eastAsia="Times New Roman"/>
              </w:rPr>
            </w:pPr>
            <w:r w:rsidRPr="00845005">
              <w:rPr>
                <w:rFonts w:eastAsia="Times New Roman"/>
              </w:rPr>
              <w:t>Bill Blanchard</w:t>
            </w:r>
          </w:p>
        </w:tc>
      </w:tr>
      <w:tr w:rsidR="00845005" w:rsidRPr="00845005" w:rsidTr="006D1A5D">
        <w:trPr>
          <w:trHeight w:val="300"/>
        </w:trPr>
        <w:tc>
          <w:tcPr>
            <w:tcW w:w="3264" w:type="pct"/>
            <w:tcBorders>
              <w:top w:val="nil"/>
              <w:left w:val="nil"/>
              <w:bottom w:val="nil"/>
              <w:right w:val="nil"/>
            </w:tcBorders>
            <w:shd w:val="clear" w:color="auto" w:fill="auto"/>
            <w:noWrap/>
            <w:vAlign w:val="bottom"/>
            <w:hideMark/>
          </w:tcPr>
          <w:p w:rsidR="00845005" w:rsidRPr="00845005" w:rsidRDefault="00845005" w:rsidP="006D1A5D">
            <w:pPr>
              <w:spacing w:after="0"/>
              <w:rPr>
                <w:rFonts w:eastAsia="Times New Roman"/>
              </w:rPr>
            </w:pPr>
            <w:r w:rsidRPr="00845005">
              <w:rPr>
                <w:rFonts w:eastAsia="Times New Roman"/>
              </w:rPr>
              <w:t>Office of Behavioral Health, Treatment</w:t>
            </w:r>
          </w:p>
        </w:tc>
        <w:tc>
          <w:tcPr>
            <w:tcW w:w="1736" w:type="pct"/>
            <w:tcBorders>
              <w:top w:val="nil"/>
              <w:left w:val="nil"/>
              <w:bottom w:val="nil"/>
              <w:right w:val="nil"/>
            </w:tcBorders>
            <w:shd w:val="clear" w:color="auto" w:fill="auto"/>
            <w:noWrap/>
            <w:vAlign w:val="bottom"/>
            <w:hideMark/>
          </w:tcPr>
          <w:p w:rsidR="00845005" w:rsidRPr="00845005" w:rsidRDefault="00845005" w:rsidP="006D1A5D">
            <w:pPr>
              <w:spacing w:after="0"/>
              <w:rPr>
                <w:rFonts w:eastAsia="Times New Roman"/>
              </w:rPr>
            </w:pPr>
            <w:r w:rsidRPr="00845005">
              <w:rPr>
                <w:rFonts w:eastAsia="Times New Roman"/>
              </w:rPr>
              <w:t>Ivory Wilson</w:t>
            </w:r>
          </w:p>
        </w:tc>
      </w:tr>
      <w:tr w:rsidR="00845005" w:rsidRPr="00845005" w:rsidTr="006D1A5D">
        <w:trPr>
          <w:trHeight w:val="300"/>
        </w:trPr>
        <w:tc>
          <w:tcPr>
            <w:tcW w:w="3264" w:type="pct"/>
            <w:tcBorders>
              <w:top w:val="nil"/>
              <w:left w:val="nil"/>
              <w:bottom w:val="nil"/>
              <w:right w:val="nil"/>
            </w:tcBorders>
            <w:shd w:val="clear" w:color="auto" w:fill="auto"/>
            <w:noWrap/>
            <w:vAlign w:val="bottom"/>
            <w:hideMark/>
          </w:tcPr>
          <w:p w:rsidR="00845005" w:rsidRPr="00845005" w:rsidRDefault="00845005" w:rsidP="006D1A5D">
            <w:pPr>
              <w:spacing w:after="0"/>
              <w:rPr>
                <w:rFonts w:eastAsia="Times New Roman"/>
              </w:rPr>
            </w:pPr>
            <w:r w:rsidRPr="00845005">
              <w:rPr>
                <w:rFonts w:eastAsia="Times New Roman"/>
              </w:rPr>
              <w:t>Office of Elderly Affairs</w:t>
            </w:r>
          </w:p>
        </w:tc>
        <w:tc>
          <w:tcPr>
            <w:tcW w:w="1736" w:type="pct"/>
            <w:tcBorders>
              <w:top w:val="nil"/>
              <w:left w:val="nil"/>
              <w:bottom w:val="nil"/>
              <w:right w:val="nil"/>
            </w:tcBorders>
            <w:shd w:val="clear" w:color="auto" w:fill="auto"/>
            <w:noWrap/>
            <w:vAlign w:val="bottom"/>
            <w:hideMark/>
          </w:tcPr>
          <w:p w:rsidR="00845005" w:rsidRPr="00845005" w:rsidRDefault="00845005" w:rsidP="006D1A5D">
            <w:pPr>
              <w:spacing w:after="0"/>
              <w:rPr>
                <w:rFonts w:eastAsia="Times New Roman"/>
              </w:rPr>
            </w:pPr>
            <w:r w:rsidRPr="00845005">
              <w:rPr>
                <w:rFonts w:eastAsia="Times New Roman"/>
              </w:rPr>
              <w:t>Vacant</w:t>
            </w:r>
          </w:p>
        </w:tc>
      </w:tr>
      <w:tr w:rsidR="00845005" w:rsidRPr="00845005" w:rsidTr="006D1A5D">
        <w:trPr>
          <w:trHeight w:val="300"/>
        </w:trPr>
        <w:tc>
          <w:tcPr>
            <w:tcW w:w="3264" w:type="pct"/>
            <w:tcBorders>
              <w:top w:val="nil"/>
              <w:left w:val="nil"/>
              <w:bottom w:val="nil"/>
              <w:right w:val="nil"/>
            </w:tcBorders>
            <w:shd w:val="clear" w:color="auto" w:fill="auto"/>
            <w:noWrap/>
            <w:vAlign w:val="bottom"/>
            <w:hideMark/>
          </w:tcPr>
          <w:p w:rsidR="00845005" w:rsidRPr="00845005" w:rsidRDefault="00845005" w:rsidP="006D1A5D">
            <w:pPr>
              <w:spacing w:after="0"/>
              <w:rPr>
                <w:rFonts w:eastAsia="Times New Roman"/>
              </w:rPr>
            </w:pPr>
            <w:r w:rsidRPr="00845005">
              <w:rPr>
                <w:rFonts w:eastAsia="Times New Roman"/>
              </w:rPr>
              <w:t>Office of Family Assistance, Program &amp; Policy Section</w:t>
            </w:r>
          </w:p>
        </w:tc>
        <w:tc>
          <w:tcPr>
            <w:tcW w:w="1736" w:type="pct"/>
            <w:tcBorders>
              <w:top w:val="nil"/>
              <w:left w:val="nil"/>
              <w:bottom w:val="nil"/>
              <w:right w:val="nil"/>
            </w:tcBorders>
            <w:shd w:val="clear" w:color="auto" w:fill="auto"/>
            <w:noWrap/>
            <w:vAlign w:val="bottom"/>
            <w:hideMark/>
          </w:tcPr>
          <w:p w:rsidR="00845005" w:rsidRPr="00845005" w:rsidRDefault="00845005" w:rsidP="006D1A5D">
            <w:pPr>
              <w:spacing w:after="0"/>
              <w:rPr>
                <w:rFonts w:eastAsia="Times New Roman"/>
              </w:rPr>
            </w:pPr>
            <w:r w:rsidRPr="00845005">
              <w:rPr>
                <w:rFonts w:eastAsia="Times New Roman"/>
              </w:rPr>
              <w:t xml:space="preserve">Stacie </w:t>
            </w:r>
            <w:proofErr w:type="spellStart"/>
            <w:r w:rsidRPr="00845005">
              <w:rPr>
                <w:rFonts w:eastAsia="Times New Roman"/>
              </w:rPr>
              <w:t>Albin</w:t>
            </w:r>
            <w:proofErr w:type="spellEnd"/>
          </w:p>
        </w:tc>
      </w:tr>
      <w:tr w:rsidR="00845005" w:rsidRPr="00845005" w:rsidTr="000D1034">
        <w:trPr>
          <w:trHeight w:val="300"/>
        </w:trPr>
        <w:tc>
          <w:tcPr>
            <w:tcW w:w="3264" w:type="pct"/>
            <w:tcBorders>
              <w:top w:val="nil"/>
              <w:left w:val="nil"/>
              <w:bottom w:val="nil"/>
              <w:right w:val="nil"/>
            </w:tcBorders>
            <w:shd w:val="clear" w:color="auto" w:fill="auto"/>
            <w:noWrap/>
            <w:vAlign w:val="bottom"/>
          </w:tcPr>
          <w:p w:rsidR="00845005" w:rsidRPr="00845005" w:rsidRDefault="000D1034" w:rsidP="006D1A5D">
            <w:pPr>
              <w:spacing w:after="0"/>
              <w:rPr>
                <w:rFonts w:eastAsia="Times New Roman"/>
              </w:rPr>
            </w:pPr>
            <w:r>
              <w:rPr>
                <w:rFonts w:eastAsia="Times New Roman"/>
              </w:rPr>
              <w:t>Louisiana State Police</w:t>
            </w:r>
          </w:p>
        </w:tc>
        <w:tc>
          <w:tcPr>
            <w:tcW w:w="1736" w:type="pct"/>
            <w:tcBorders>
              <w:top w:val="nil"/>
              <w:left w:val="nil"/>
              <w:bottom w:val="nil"/>
              <w:right w:val="nil"/>
            </w:tcBorders>
            <w:shd w:val="clear" w:color="auto" w:fill="auto"/>
            <w:noWrap/>
            <w:vAlign w:val="bottom"/>
          </w:tcPr>
          <w:p w:rsidR="00845005" w:rsidRPr="00845005" w:rsidRDefault="000D1034" w:rsidP="006D1A5D">
            <w:pPr>
              <w:spacing w:after="0"/>
              <w:rPr>
                <w:rFonts w:eastAsia="Times New Roman"/>
              </w:rPr>
            </w:pPr>
            <w:r>
              <w:rPr>
                <w:rFonts w:eastAsia="Times New Roman"/>
              </w:rPr>
              <w:t>Rebecca Nugent</w:t>
            </w:r>
          </w:p>
        </w:tc>
      </w:tr>
      <w:tr w:rsidR="00845005" w:rsidRPr="00845005" w:rsidTr="006D1A5D">
        <w:trPr>
          <w:trHeight w:val="300"/>
        </w:trPr>
        <w:tc>
          <w:tcPr>
            <w:tcW w:w="3264" w:type="pct"/>
            <w:tcBorders>
              <w:top w:val="nil"/>
              <w:left w:val="nil"/>
              <w:bottom w:val="nil"/>
              <w:right w:val="nil"/>
            </w:tcBorders>
            <w:shd w:val="clear" w:color="auto" w:fill="auto"/>
            <w:noWrap/>
            <w:vAlign w:val="bottom"/>
            <w:hideMark/>
          </w:tcPr>
          <w:p w:rsidR="00845005" w:rsidRPr="00845005" w:rsidRDefault="00845005" w:rsidP="006D1A5D">
            <w:pPr>
              <w:spacing w:after="0"/>
              <w:rPr>
                <w:rFonts w:eastAsia="Times New Roman"/>
              </w:rPr>
            </w:pPr>
            <w:r w:rsidRPr="00845005">
              <w:rPr>
                <w:rFonts w:eastAsia="Times New Roman"/>
              </w:rPr>
              <w:t>Office of Public Health, Assistant State Epidemiologist</w:t>
            </w:r>
          </w:p>
        </w:tc>
        <w:tc>
          <w:tcPr>
            <w:tcW w:w="1736" w:type="pct"/>
            <w:tcBorders>
              <w:top w:val="nil"/>
              <w:left w:val="nil"/>
              <w:bottom w:val="nil"/>
              <w:right w:val="nil"/>
            </w:tcBorders>
            <w:shd w:val="clear" w:color="auto" w:fill="auto"/>
            <w:noWrap/>
            <w:vAlign w:val="bottom"/>
            <w:hideMark/>
          </w:tcPr>
          <w:p w:rsidR="00845005" w:rsidRPr="00845005" w:rsidRDefault="00845005" w:rsidP="000D1034">
            <w:pPr>
              <w:spacing w:after="0"/>
              <w:rPr>
                <w:rFonts w:eastAsia="Times New Roman"/>
              </w:rPr>
            </w:pPr>
            <w:r w:rsidRPr="00845005">
              <w:rPr>
                <w:rFonts w:eastAsia="Times New Roman"/>
              </w:rPr>
              <w:t>Su</w:t>
            </w:r>
            <w:r w:rsidR="000D1034">
              <w:rPr>
                <w:rFonts w:eastAsia="Times New Roman"/>
              </w:rPr>
              <w:t>s</w:t>
            </w:r>
            <w:r w:rsidRPr="00845005">
              <w:rPr>
                <w:rFonts w:eastAsia="Times New Roman"/>
              </w:rPr>
              <w:t xml:space="preserve">anne </w:t>
            </w:r>
            <w:proofErr w:type="spellStart"/>
            <w:r w:rsidRPr="00845005">
              <w:rPr>
                <w:rFonts w:eastAsia="Times New Roman"/>
              </w:rPr>
              <w:t>Str</w:t>
            </w:r>
            <w:r w:rsidR="000D1034">
              <w:rPr>
                <w:rFonts w:eastAsia="Times New Roman"/>
              </w:rPr>
              <w:t>aif</w:t>
            </w:r>
            <w:proofErr w:type="spellEnd"/>
            <w:r w:rsidRPr="00845005">
              <w:rPr>
                <w:rFonts w:eastAsia="Times New Roman"/>
              </w:rPr>
              <w:t>-Bourgeois</w:t>
            </w:r>
          </w:p>
        </w:tc>
      </w:tr>
      <w:tr w:rsidR="00845005" w:rsidRPr="00845005" w:rsidTr="000D1034">
        <w:trPr>
          <w:trHeight w:val="300"/>
        </w:trPr>
        <w:tc>
          <w:tcPr>
            <w:tcW w:w="3264" w:type="pct"/>
            <w:tcBorders>
              <w:top w:val="nil"/>
              <w:left w:val="nil"/>
              <w:bottom w:val="nil"/>
              <w:right w:val="nil"/>
            </w:tcBorders>
            <w:shd w:val="clear" w:color="auto" w:fill="auto"/>
            <w:noWrap/>
            <w:vAlign w:val="bottom"/>
          </w:tcPr>
          <w:p w:rsidR="00845005" w:rsidRPr="00845005" w:rsidRDefault="000D1034" w:rsidP="006D1A5D">
            <w:pPr>
              <w:spacing w:after="0"/>
              <w:rPr>
                <w:rFonts w:eastAsia="Times New Roman"/>
              </w:rPr>
            </w:pPr>
            <w:r>
              <w:rPr>
                <w:rFonts w:eastAsia="Times New Roman"/>
              </w:rPr>
              <w:t>Office of the Governor, Safe and Drug Free Communities</w:t>
            </w:r>
          </w:p>
        </w:tc>
        <w:tc>
          <w:tcPr>
            <w:tcW w:w="1736" w:type="pct"/>
            <w:tcBorders>
              <w:top w:val="nil"/>
              <w:left w:val="nil"/>
              <w:bottom w:val="nil"/>
              <w:right w:val="nil"/>
            </w:tcBorders>
            <w:shd w:val="clear" w:color="auto" w:fill="auto"/>
            <w:noWrap/>
            <w:vAlign w:val="bottom"/>
          </w:tcPr>
          <w:p w:rsidR="00845005" w:rsidRPr="00845005" w:rsidRDefault="000D1034" w:rsidP="006D1A5D">
            <w:pPr>
              <w:spacing w:after="0"/>
              <w:rPr>
                <w:rFonts w:eastAsia="Times New Roman"/>
              </w:rPr>
            </w:pPr>
            <w:r>
              <w:rPr>
                <w:rFonts w:eastAsia="Times New Roman"/>
              </w:rPr>
              <w:t>Missy Graves</w:t>
            </w:r>
          </w:p>
        </w:tc>
      </w:tr>
      <w:tr w:rsidR="00845005" w:rsidRPr="00845005" w:rsidTr="006D1A5D">
        <w:trPr>
          <w:trHeight w:val="300"/>
        </w:trPr>
        <w:tc>
          <w:tcPr>
            <w:tcW w:w="3264" w:type="pct"/>
            <w:tcBorders>
              <w:top w:val="nil"/>
              <w:left w:val="nil"/>
              <w:bottom w:val="nil"/>
              <w:right w:val="nil"/>
            </w:tcBorders>
            <w:shd w:val="clear" w:color="auto" w:fill="auto"/>
            <w:noWrap/>
            <w:vAlign w:val="bottom"/>
            <w:hideMark/>
          </w:tcPr>
          <w:p w:rsidR="00845005" w:rsidRPr="00845005" w:rsidRDefault="00845005" w:rsidP="006D1A5D">
            <w:pPr>
              <w:spacing w:after="0"/>
              <w:rPr>
                <w:rFonts w:eastAsia="Times New Roman"/>
              </w:rPr>
            </w:pPr>
            <w:r w:rsidRPr="00845005">
              <w:rPr>
                <w:rFonts w:eastAsia="Times New Roman"/>
              </w:rPr>
              <w:t>Office of Public Health, Infectious Disease Epidemiology</w:t>
            </w:r>
          </w:p>
        </w:tc>
        <w:tc>
          <w:tcPr>
            <w:tcW w:w="1736" w:type="pct"/>
            <w:tcBorders>
              <w:top w:val="nil"/>
              <w:left w:val="nil"/>
              <w:bottom w:val="nil"/>
              <w:right w:val="nil"/>
            </w:tcBorders>
            <w:shd w:val="clear" w:color="auto" w:fill="auto"/>
            <w:noWrap/>
            <w:vAlign w:val="bottom"/>
            <w:hideMark/>
          </w:tcPr>
          <w:p w:rsidR="00845005" w:rsidRPr="00845005" w:rsidRDefault="00845005" w:rsidP="006D1A5D">
            <w:pPr>
              <w:spacing w:after="0"/>
              <w:rPr>
                <w:rFonts w:eastAsia="Times New Roman"/>
              </w:rPr>
            </w:pPr>
            <w:r w:rsidRPr="00845005">
              <w:rPr>
                <w:rFonts w:eastAsia="Times New Roman"/>
              </w:rPr>
              <w:t>Gary Balsamo, DVM</w:t>
            </w:r>
          </w:p>
        </w:tc>
      </w:tr>
      <w:tr w:rsidR="00845005" w:rsidRPr="00845005" w:rsidTr="006D1A5D">
        <w:trPr>
          <w:trHeight w:val="300"/>
        </w:trPr>
        <w:tc>
          <w:tcPr>
            <w:tcW w:w="3264" w:type="pct"/>
            <w:tcBorders>
              <w:top w:val="nil"/>
              <w:left w:val="nil"/>
              <w:bottom w:val="nil"/>
              <w:right w:val="nil"/>
            </w:tcBorders>
            <w:shd w:val="clear" w:color="auto" w:fill="auto"/>
            <w:noWrap/>
            <w:vAlign w:val="bottom"/>
            <w:hideMark/>
          </w:tcPr>
          <w:p w:rsidR="00845005" w:rsidRPr="00845005" w:rsidRDefault="00845005" w:rsidP="000D1034">
            <w:pPr>
              <w:spacing w:after="0"/>
              <w:rPr>
                <w:rFonts w:eastAsia="Times New Roman"/>
              </w:rPr>
            </w:pPr>
            <w:r w:rsidRPr="00845005">
              <w:rPr>
                <w:rFonts w:eastAsia="Times New Roman"/>
              </w:rPr>
              <w:t>S</w:t>
            </w:r>
            <w:r w:rsidR="000D1034">
              <w:rPr>
                <w:rFonts w:eastAsia="Times New Roman"/>
              </w:rPr>
              <w:t>EW</w:t>
            </w:r>
            <w:r w:rsidRPr="00845005">
              <w:rPr>
                <w:rFonts w:eastAsia="Times New Roman"/>
              </w:rPr>
              <w:t xml:space="preserve"> Project Director</w:t>
            </w:r>
            <w:r w:rsidR="000D1034">
              <w:rPr>
                <w:rFonts w:eastAsia="Times New Roman"/>
              </w:rPr>
              <w:t>, Office of the Governor</w:t>
            </w:r>
          </w:p>
        </w:tc>
        <w:tc>
          <w:tcPr>
            <w:tcW w:w="1736" w:type="pct"/>
            <w:tcBorders>
              <w:top w:val="nil"/>
              <w:left w:val="nil"/>
              <w:bottom w:val="nil"/>
              <w:right w:val="nil"/>
            </w:tcBorders>
            <w:shd w:val="clear" w:color="auto" w:fill="auto"/>
            <w:noWrap/>
            <w:vAlign w:val="bottom"/>
            <w:hideMark/>
          </w:tcPr>
          <w:p w:rsidR="00845005" w:rsidRPr="00845005" w:rsidRDefault="00845005" w:rsidP="006D1A5D">
            <w:pPr>
              <w:spacing w:after="0"/>
              <w:rPr>
                <w:rFonts w:eastAsia="Times New Roman"/>
              </w:rPr>
            </w:pPr>
            <w:r w:rsidRPr="00845005">
              <w:rPr>
                <w:rFonts w:eastAsia="Times New Roman"/>
              </w:rPr>
              <w:t>Dawn Diez</w:t>
            </w:r>
          </w:p>
        </w:tc>
      </w:tr>
      <w:tr w:rsidR="00845005" w:rsidRPr="00845005" w:rsidTr="006D1A5D">
        <w:trPr>
          <w:trHeight w:val="300"/>
        </w:trPr>
        <w:tc>
          <w:tcPr>
            <w:tcW w:w="3264" w:type="pct"/>
            <w:tcBorders>
              <w:top w:val="nil"/>
              <w:left w:val="nil"/>
              <w:bottom w:val="nil"/>
              <w:right w:val="nil"/>
            </w:tcBorders>
            <w:shd w:val="clear" w:color="auto" w:fill="auto"/>
            <w:noWrap/>
            <w:vAlign w:val="bottom"/>
            <w:hideMark/>
          </w:tcPr>
          <w:p w:rsidR="00845005" w:rsidRPr="00845005" w:rsidRDefault="00845005" w:rsidP="006D1A5D">
            <w:pPr>
              <w:spacing w:after="0"/>
              <w:rPr>
                <w:rFonts w:eastAsia="Times New Roman"/>
              </w:rPr>
            </w:pPr>
            <w:r w:rsidRPr="00845005">
              <w:rPr>
                <w:rFonts w:eastAsia="Times New Roman"/>
              </w:rPr>
              <w:t>ULL-Center for Child Development</w:t>
            </w:r>
          </w:p>
        </w:tc>
        <w:tc>
          <w:tcPr>
            <w:tcW w:w="1736" w:type="pct"/>
            <w:tcBorders>
              <w:top w:val="nil"/>
              <w:left w:val="nil"/>
              <w:bottom w:val="nil"/>
              <w:right w:val="nil"/>
            </w:tcBorders>
            <w:shd w:val="clear" w:color="auto" w:fill="auto"/>
            <w:noWrap/>
            <w:vAlign w:val="bottom"/>
            <w:hideMark/>
          </w:tcPr>
          <w:p w:rsidR="00845005" w:rsidRPr="00845005" w:rsidRDefault="00845005" w:rsidP="006D1A5D">
            <w:pPr>
              <w:spacing w:after="0"/>
              <w:rPr>
                <w:rFonts w:eastAsia="Times New Roman"/>
              </w:rPr>
            </w:pPr>
            <w:r w:rsidRPr="00845005">
              <w:rPr>
                <w:rFonts w:eastAsia="Times New Roman"/>
              </w:rPr>
              <w:t>Gary Asmus, Ph.D.</w:t>
            </w:r>
          </w:p>
        </w:tc>
      </w:tr>
    </w:tbl>
    <w:p w:rsidR="00845005" w:rsidRDefault="00845005" w:rsidP="006D1A5D"/>
    <w:p w:rsidR="004416E6" w:rsidRDefault="004416E6">
      <w:r>
        <w:br w:type="page"/>
      </w:r>
    </w:p>
    <w:p w:rsidR="00845005" w:rsidRDefault="004416E6" w:rsidP="004416E6">
      <w:pPr>
        <w:pStyle w:val="Heading1"/>
      </w:pPr>
      <w:bookmarkStart w:id="3" w:name="_Toc362873935"/>
      <w:r>
        <w:lastRenderedPageBreak/>
        <w:t>Executive Summary</w:t>
      </w:r>
      <w:bookmarkEnd w:id="3"/>
    </w:p>
    <w:p w:rsidR="00DE765C" w:rsidRDefault="00E659BF" w:rsidP="004416E6">
      <w:r>
        <w:t xml:space="preserve">The focus of </w:t>
      </w:r>
      <w:r w:rsidR="000925EF">
        <w:t xml:space="preserve">The </w:t>
      </w:r>
      <w:r>
        <w:t xml:space="preserve">Louisiana </w:t>
      </w:r>
      <w:r w:rsidR="000925EF">
        <w:t xml:space="preserve">State Epidemiological Profile </w:t>
      </w:r>
      <w:r>
        <w:t xml:space="preserve">is on the specific substances prioritized by the State </w:t>
      </w:r>
      <w:r w:rsidR="000925EF">
        <w:t xml:space="preserve">Epidemiology </w:t>
      </w:r>
      <w:r>
        <w:t xml:space="preserve">Workgroup (SEW) at the direction of the Drug Policy </w:t>
      </w:r>
      <w:r w:rsidR="00DE765C">
        <w:t>B</w:t>
      </w:r>
      <w:r>
        <w:t>oard</w:t>
      </w:r>
      <w:r w:rsidR="0087332C">
        <w:t xml:space="preserve"> (DPB)</w:t>
      </w:r>
      <w:r>
        <w:t xml:space="preserve">. Since the inception of the SEW in 2004 the workgroup has gathered substance use and abuse data that consists of </w:t>
      </w:r>
      <w:r w:rsidR="00DE765C">
        <w:t xml:space="preserve">221 distinct indicators. The prioritization process considered all of the measures. The review of these indicators resulted in a focus on youth in general and specifically on alcohol, cigarettes, and marijuana. This profile is focused on presenting the indicators that are most proximal in time and consequence to those substances for youth. Additional indicators are also presented for adults and, particularly, young adults. The young adult population is where many of the problems that began in youth tend to have their most immediate and greatest consequences. </w:t>
      </w:r>
    </w:p>
    <w:p w:rsidR="00DE765C" w:rsidRDefault="00DE765C" w:rsidP="004416E6">
      <w:r>
        <w:t>This focus is not intended to minimize or ignore other substances</w:t>
      </w:r>
      <w:r w:rsidR="00EF6B54">
        <w:t>, o</w:t>
      </w:r>
      <w:r>
        <w:t>ther age brackets</w:t>
      </w:r>
      <w:r w:rsidR="00951F24">
        <w:t xml:space="preserve"> and</w:t>
      </w:r>
      <w:r w:rsidR="006349DB">
        <w:t>/or</w:t>
      </w:r>
      <w:r w:rsidR="00951F24">
        <w:t xml:space="preserve"> </w:t>
      </w:r>
      <w:r w:rsidR="00D4219D">
        <w:t>other behavioral health issues</w:t>
      </w:r>
      <w:r>
        <w:t xml:space="preserve">. The SEW continues to gather data and expand the number of indicators that are available to </w:t>
      </w:r>
      <w:r w:rsidR="00D4219D">
        <w:t>state and community planners</w:t>
      </w:r>
      <w:r>
        <w:t xml:space="preserve">. </w:t>
      </w:r>
      <w:r w:rsidR="00EF6B54">
        <w:t xml:space="preserve">All </w:t>
      </w:r>
      <w:r w:rsidR="00D4219D">
        <w:t xml:space="preserve">current </w:t>
      </w:r>
      <w:r>
        <w:t xml:space="preserve">data </w:t>
      </w:r>
      <w:r w:rsidR="00D4219D">
        <w:t>is</w:t>
      </w:r>
      <w:r>
        <w:t xml:space="preserve"> available online at </w:t>
      </w:r>
      <w:hyperlink r:id="rId16" w:history="1">
        <w:r w:rsidRPr="00576F66">
          <w:rPr>
            <w:rStyle w:val="Hyperlink"/>
          </w:rPr>
          <w:t>http://www.</w:t>
        </w:r>
        <w:r w:rsidR="000925EF">
          <w:rPr>
            <w:rStyle w:val="Hyperlink"/>
          </w:rPr>
          <w:t>gov.state.la.us</w:t>
        </w:r>
        <w:r w:rsidRPr="00576F66">
          <w:rPr>
            <w:rStyle w:val="Hyperlink"/>
          </w:rPr>
          <w:t>/lasocialindicators</w:t>
        </w:r>
      </w:hyperlink>
      <w:r>
        <w:t>. This profile contains the most directly relevant indicators in a condensed format to present the overall picture. It is the intent of the SEW that this report be a starting point for understanding the most important substance use and abuse issues in the state</w:t>
      </w:r>
      <w:r w:rsidR="00951F24">
        <w:t xml:space="preserve"> with an expanded focus on </w:t>
      </w:r>
      <w:r w:rsidR="00D4219D">
        <w:t>related behavioral health issues, specifically suicide and depression</w:t>
      </w:r>
      <w:r>
        <w:t xml:space="preserve">.  Local community groups can use the online data </w:t>
      </w:r>
      <w:r w:rsidR="00951F24">
        <w:t xml:space="preserve">system </w:t>
      </w:r>
      <w:r>
        <w:t xml:space="preserve">to delve more deeply into the consumption and consequences of substance use and abuse </w:t>
      </w:r>
      <w:r w:rsidR="00D4219D">
        <w:t>and related behavioral health issues</w:t>
      </w:r>
      <w:r>
        <w:t xml:space="preserve">. </w:t>
      </w:r>
    </w:p>
    <w:p w:rsidR="00E659BF" w:rsidRPr="008C483C" w:rsidRDefault="00E659BF" w:rsidP="00E659BF">
      <w:r>
        <w:t xml:space="preserve">Consumption indicators for youth indicate a downward trend in both general alcohol consumption and in binge drinking, but for adults the rates are increasing. A comparison to overall consumption rates nationwide reverses the relationship. While the consumption rates for youth are trending down, the rates in Louisiana are still higher than the national rate. The adult rates in the state are trending up, but the overall adult consumption rates are lower than the national average. The most positive indicator is in relation to the immediate consequences as measured by alcohol-related vehicle crash injuries and fatalities. Over the last 10 years, the rate for injuries has decreased 34% and the rate of fatalities has decreased over 35%.  </w:t>
      </w:r>
    </w:p>
    <w:p w:rsidR="00E659BF" w:rsidRDefault="00E659BF" w:rsidP="00E659BF">
      <w:r>
        <w:t>Particularly amongst youth and young adults, the rate of cigarette use has been decreasing over the last 10 years.  There has been a 6% decrease in cigarette use within the last 30 days for 12</w:t>
      </w:r>
      <w:r w:rsidRPr="00FF0B98">
        <w:rPr>
          <w:vertAlign w:val="superscript"/>
        </w:rPr>
        <w:t>th</w:t>
      </w:r>
      <w:r>
        <w:t xml:space="preserve"> grade students and the rate of use amongst 6</w:t>
      </w:r>
      <w:r w:rsidRPr="00FF0B98">
        <w:rPr>
          <w:vertAlign w:val="superscript"/>
        </w:rPr>
        <w:t>th</w:t>
      </w:r>
      <w:r>
        <w:t>, 8</w:t>
      </w:r>
      <w:r w:rsidRPr="00FF0B98">
        <w:rPr>
          <w:vertAlign w:val="superscript"/>
        </w:rPr>
        <w:t>th</w:t>
      </w:r>
      <w:r>
        <w:t>, and 10</w:t>
      </w:r>
      <w:r w:rsidRPr="00FF0B98">
        <w:rPr>
          <w:vertAlign w:val="superscript"/>
        </w:rPr>
        <w:t>th</w:t>
      </w:r>
      <w:r>
        <w:t xml:space="preserve"> graders has decreased even more. While the data on young adults is more limited, there is an almost 4% decrease in regular tobacco use and a 3% decrease in 30-day use as reported in the latest CORE </w:t>
      </w:r>
      <w:r w:rsidR="006C38B5">
        <w:t>Alcohol and Drug S</w:t>
      </w:r>
      <w:r>
        <w:t xml:space="preserve">urvey. Adult rates had been steadily decreasing over the last 10 years, but the latest results from the </w:t>
      </w:r>
      <w:r w:rsidR="006C38B5">
        <w:t>Behavioral Risk Factor Surveillance System (</w:t>
      </w:r>
      <w:r>
        <w:t>BRFSS</w:t>
      </w:r>
      <w:r w:rsidR="006C38B5">
        <w:t>)</w:t>
      </w:r>
      <w:r>
        <w:t xml:space="preserve"> indicate a recent increase to nearly the second highest rate reported since 2001. There has also been a slight decrease in the reported lung cancer rates in Louisiana, but given the typical lag between cigarette use and the appearance of lung cancer this is likely more closely related to earlier decreases in tobacco use.</w:t>
      </w:r>
    </w:p>
    <w:p w:rsidR="00E659BF" w:rsidRDefault="00E659BF" w:rsidP="00E659BF">
      <w:r>
        <w:t>Marijuana is the most commonly used drug within the category of other drugs after alcohol and tobacco. Substances that are regularly reported as growing problems such as methamphetamines (1.7% lifetime use in 12</w:t>
      </w:r>
      <w:r w:rsidRPr="006923B3">
        <w:rPr>
          <w:vertAlign w:val="superscript"/>
        </w:rPr>
        <w:t>th</w:t>
      </w:r>
      <w:r>
        <w:t xml:space="preserve"> graders) or prescription drugs (7.2% lifetime use in 12</w:t>
      </w:r>
      <w:r w:rsidRPr="006923B3">
        <w:rPr>
          <w:vertAlign w:val="superscript"/>
        </w:rPr>
        <w:t>th</w:t>
      </w:r>
      <w:r>
        <w:t xml:space="preserve"> graders) represent a much smaller rate than that for marijuana (30.3%</w:t>
      </w:r>
      <w:r w:rsidRPr="006923B3">
        <w:t xml:space="preserve"> </w:t>
      </w:r>
      <w:r>
        <w:t>lifetime use in 12</w:t>
      </w:r>
      <w:r w:rsidRPr="006923B3">
        <w:rPr>
          <w:vertAlign w:val="superscript"/>
        </w:rPr>
        <w:t>th</w:t>
      </w:r>
      <w:r>
        <w:t xml:space="preserve"> graders). Measures of marijuana consumption indicate increasing rates of use amongst both youth and young adults. While the Louisiana rates are typically lower than national rates (e.g., 30-day use: 14.6% LA 12</w:t>
      </w:r>
      <w:r w:rsidRPr="006923B3">
        <w:rPr>
          <w:vertAlign w:val="superscript"/>
        </w:rPr>
        <w:t>th</w:t>
      </w:r>
      <w:r>
        <w:t xml:space="preserve"> graders</w:t>
      </w:r>
      <w:r w:rsidR="006C38B5">
        <w:t xml:space="preserve"> Caring Communities Youth Survey</w:t>
      </w:r>
      <w:r>
        <w:t xml:space="preserve"> (CCYS) vs. 22.6% US 12</w:t>
      </w:r>
      <w:r w:rsidRPr="006923B3">
        <w:rPr>
          <w:vertAlign w:val="superscript"/>
        </w:rPr>
        <w:t>th</w:t>
      </w:r>
      <w:r>
        <w:t xml:space="preserve"> graders M</w:t>
      </w:r>
      <w:r w:rsidR="006E031E">
        <w:t xml:space="preserve">onitoring </w:t>
      </w:r>
      <w:r w:rsidR="00DF44DF">
        <w:t>the</w:t>
      </w:r>
      <w:r w:rsidR="006E031E">
        <w:t xml:space="preserve"> </w:t>
      </w:r>
      <w:r>
        <w:t>F</w:t>
      </w:r>
      <w:r w:rsidR="006E031E">
        <w:t>uture</w:t>
      </w:r>
      <w:r w:rsidR="006C38B5">
        <w:t xml:space="preserve"> (MTF</w:t>
      </w:r>
      <w:r>
        <w:t xml:space="preserve">)), the increase from 11.2% to 14.6% is cause for concern.  Adult consumption has remained at relatively </w:t>
      </w:r>
      <w:r w:rsidR="00DF44DF">
        <w:t>s</w:t>
      </w:r>
      <w:r>
        <w:t>tables rates since 2002.</w:t>
      </w:r>
    </w:p>
    <w:p w:rsidR="00E659BF" w:rsidRPr="004416E6" w:rsidRDefault="00E659BF" w:rsidP="004416E6">
      <w:pPr>
        <w:sectPr w:rsidR="00E659BF" w:rsidRPr="004416E6" w:rsidSect="000F7E94">
          <w:footerReference w:type="default" r:id="rId17"/>
          <w:pgSz w:w="12240" w:h="15840"/>
          <w:pgMar w:top="1440" w:right="1152" w:bottom="1152" w:left="1152" w:header="720" w:footer="216" w:gutter="0"/>
          <w:pgNumType w:fmt="lowerRoman"/>
          <w:cols w:space="720"/>
          <w:docGrid w:linePitch="360"/>
        </w:sectPr>
      </w:pPr>
    </w:p>
    <w:p w:rsidR="009B074B" w:rsidRPr="00826AAD" w:rsidRDefault="007D3CC6" w:rsidP="006D1A5D">
      <w:pPr>
        <w:pStyle w:val="Heading1"/>
      </w:pPr>
      <w:bookmarkStart w:id="4" w:name="_Toc362873936"/>
      <w:r w:rsidRPr="00826AAD">
        <w:rPr>
          <w:noProof/>
        </w:rPr>
        <w:lastRenderedPageBreak/>
        <w:drawing>
          <wp:anchor distT="0" distB="0" distL="114300" distR="114300" simplePos="0" relativeHeight="251664384" behindDoc="1" locked="0" layoutInCell="1" allowOverlap="1">
            <wp:simplePos x="0" y="0"/>
            <wp:positionH relativeFrom="column">
              <wp:posOffset>5031105</wp:posOffset>
            </wp:positionH>
            <wp:positionV relativeFrom="paragraph">
              <wp:posOffset>-457200</wp:posOffset>
            </wp:positionV>
            <wp:extent cx="1358265" cy="1365250"/>
            <wp:effectExtent l="0" t="0" r="0" b="6350"/>
            <wp:wrapSquare wrapText="bothSides"/>
            <wp:docPr id="5" name="Picture 4"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0" cstate="print"/>
                    <a:stretch>
                      <a:fillRect/>
                    </a:stretch>
                  </pic:blipFill>
                  <pic:spPr>
                    <a:xfrm>
                      <a:off x="0" y="0"/>
                      <a:ext cx="1358265" cy="1365250"/>
                    </a:xfrm>
                    <a:prstGeom prst="rect">
                      <a:avLst/>
                    </a:prstGeom>
                  </pic:spPr>
                </pic:pic>
              </a:graphicData>
            </a:graphic>
          </wp:anchor>
        </w:drawing>
      </w:r>
      <w:r w:rsidR="00F14986">
        <w:t xml:space="preserve">The </w:t>
      </w:r>
      <w:r w:rsidR="008D28AC" w:rsidRPr="00826AAD">
        <w:t xml:space="preserve">Louisiana State </w:t>
      </w:r>
      <w:r w:rsidR="00F14986" w:rsidRPr="00826AAD">
        <w:t>Epidemiolog</w:t>
      </w:r>
      <w:r w:rsidR="00F14986">
        <w:t>ical</w:t>
      </w:r>
      <w:r w:rsidR="00F14986" w:rsidRPr="00826AAD">
        <w:t xml:space="preserve"> </w:t>
      </w:r>
      <w:r w:rsidR="008D28AC" w:rsidRPr="00826AAD">
        <w:t>Profile</w:t>
      </w:r>
      <w:bookmarkEnd w:id="4"/>
    </w:p>
    <w:p w:rsidR="00FB2B22" w:rsidRDefault="00FB2B22" w:rsidP="006D1A5D">
      <w:pPr>
        <w:pStyle w:val="Heading2"/>
      </w:pPr>
      <w:bookmarkStart w:id="5" w:name="_Toc362873937"/>
      <w:r>
        <w:t>Introduction</w:t>
      </w:r>
      <w:bookmarkEnd w:id="5"/>
    </w:p>
    <w:p w:rsidR="002114CE" w:rsidRDefault="00BB6664" w:rsidP="006D1A5D">
      <w:r w:rsidRPr="00BB6664">
        <w:t xml:space="preserve">The State </w:t>
      </w:r>
      <w:r w:rsidR="00F14986" w:rsidRPr="00BB6664">
        <w:t>Epidemiolog</w:t>
      </w:r>
      <w:r w:rsidR="00F14986">
        <w:t>y</w:t>
      </w:r>
      <w:r w:rsidR="00F14986" w:rsidRPr="00BB6664">
        <w:t xml:space="preserve"> </w:t>
      </w:r>
      <w:r w:rsidRPr="00BB6664">
        <w:t>Workgroup</w:t>
      </w:r>
      <w:r w:rsidR="006C38B5">
        <w:t xml:space="preserve"> (SEW)</w:t>
      </w:r>
      <w:r w:rsidRPr="00BB6664">
        <w:t xml:space="preserve"> </w:t>
      </w:r>
      <w:r w:rsidR="000C4272" w:rsidRPr="00BB6664">
        <w:t>was created</w:t>
      </w:r>
      <w:r w:rsidR="000C4272">
        <w:t xml:space="preserve"> in December of 2004 and </w:t>
      </w:r>
      <w:r w:rsidRPr="00BB6664">
        <w:t>is an advisory committee of the Drug Policy Board</w:t>
      </w:r>
      <w:r w:rsidR="006C38B5">
        <w:t xml:space="preserve"> (DPB)</w:t>
      </w:r>
      <w:r>
        <w:t xml:space="preserve">. </w:t>
      </w:r>
      <w:r w:rsidR="00D4219D" w:rsidRPr="00220933">
        <w:rPr>
          <w:rFonts w:ascii="Times New Roman" w:hAnsi="Times New Roman" w:cs="Times New Roman"/>
          <w:i/>
          <w:sz w:val="24"/>
          <w:szCs w:val="24"/>
        </w:rPr>
        <w:t xml:space="preserve">Please note that SEW </w:t>
      </w:r>
      <w:r w:rsidR="006C38B5" w:rsidRPr="00220933">
        <w:rPr>
          <w:rFonts w:ascii="Times New Roman" w:hAnsi="Times New Roman" w:cs="Times New Roman"/>
          <w:i/>
          <w:sz w:val="24"/>
          <w:szCs w:val="24"/>
        </w:rPr>
        <w:t>and SEOW</w:t>
      </w:r>
      <w:r w:rsidR="00D4219D" w:rsidRPr="00220933">
        <w:rPr>
          <w:rFonts w:ascii="Times New Roman" w:hAnsi="Times New Roman" w:cs="Times New Roman"/>
          <w:i/>
          <w:sz w:val="24"/>
          <w:szCs w:val="24"/>
        </w:rPr>
        <w:t xml:space="preserve"> are used synonymously.  In the state of Louisiana, we continue to use the term SEW as its name was established in the Drug Policy Board By-laws.</w:t>
      </w:r>
      <w:r w:rsidR="00D4219D">
        <w:t xml:space="preserve"> The</w:t>
      </w:r>
      <w:r>
        <w:t xml:space="preserve"> vision of the SEW is:</w:t>
      </w:r>
      <w:r w:rsidR="00D4219D">
        <w:t xml:space="preserve">  </w:t>
      </w:r>
      <w:r>
        <w:t>“</w:t>
      </w:r>
      <w:r w:rsidRPr="00BB6664">
        <w:t>To recognize that alcohol, tobacco and other drug abuse is a serious social and public health issue that when addressed will create a climate of healthiness and community wellness for all of Louisiana. (Revised November 17, 2005)</w:t>
      </w:r>
      <w:r>
        <w:t xml:space="preserve">” </w:t>
      </w:r>
      <w:r w:rsidR="002114CE">
        <w:t>(SEW Bylaws).</w:t>
      </w:r>
    </w:p>
    <w:p w:rsidR="00BB6664" w:rsidRDefault="002114CE" w:rsidP="006D1A5D">
      <w:r>
        <w:t xml:space="preserve">Toward that end the SEW focused on identifying sources of data related to the </w:t>
      </w:r>
      <w:r w:rsidR="00AC40E0">
        <w:t>consumption</w:t>
      </w:r>
      <w:r>
        <w:t xml:space="preserve"> and cons</w:t>
      </w:r>
      <w:r w:rsidR="00AC40E0">
        <w:t>equences</w:t>
      </w:r>
      <w:r>
        <w:t xml:space="preserve"> of alcohol, tobacco and other drugs</w:t>
      </w:r>
      <w:r w:rsidR="006C38B5">
        <w:t>,</w:t>
      </w:r>
      <w:r>
        <w:t xml:space="preserve"> </w:t>
      </w:r>
      <w:r w:rsidR="006C38B5">
        <w:t>as well as, related behavioral health issues</w:t>
      </w:r>
      <w:r>
        <w:t xml:space="preserve">. </w:t>
      </w:r>
      <w:r w:rsidR="00BB6664" w:rsidRPr="00BB6664">
        <w:rPr>
          <w:i/>
        </w:rPr>
        <w:t xml:space="preserve"> </w:t>
      </w:r>
      <w:r>
        <w:t>The last time that the SEW published a statewide epidemiological profile was in 2009</w:t>
      </w:r>
      <w:r>
        <w:rPr>
          <w:rStyle w:val="FootnoteReference"/>
        </w:rPr>
        <w:footnoteReference w:id="2"/>
      </w:r>
      <w:r>
        <w:t>.</w:t>
      </w:r>
      <w:r w:rsidR="00B272F7">
        <w:t xml:space="preserve"> Concurrently, the SEW </w:t>
      </w:r>
      <w:r w:rsidR="0083240B">
        <w:t xml:space="preserve">supported the </w:t>
      </w:r>
      <w:r w:rsidR="00F14986">
        <w:t>develop</w:t>
      </w:r>
      <w:r w:rsidR="0083240B">
        <w:t>ment of</w:t>
      </w:r>
      <w:r w:rsidR="00F14986">
        <w:t xml:space="preserve"> </w:t>
      </w:r>
      <w:r w:rsidR="00B272F7">
        <w:t xml:space="preserve">an online </w:t>
      </w:r>
      <w:r w:rsidR="0083240B">
        <w:t xml:space="preserve">data </w:t>
      </w:r>
      <w:r w:rsidR="00B272F7">
        <w:t>repository of the indicators and has updated it as new data became available in lieu of a written state epidemiological profile</w:t>
      </w:r>
      <w:r w:rsidR="00B272F7">
        <w:rPr>
          <w:rStyle w:val="FootnoteReference"/>
        </w:rPr>
        <w:footnoteReference w:id="3"/>
      </w:r>
      <w:r w:rsidR="00B272F7">
        <w:t xml:space="preserve">. </w:t>
      </w:r>
      <w:r w:rsidR="00AC40E0">
        <w:t>This current profile was created</w:t>
      </w:r>
      <w:r w:rsidR="007D3BFD">
        <w:t xml:space="preserve"> to</w:t>
      </w:r>
      <w:r w:rsidR="00AC40E0">
        <w:t xml:space="preserve"> address a common issue in the 21</w:t>
      </w:r>
      <w:r w:rsidR="00AC40E0" w:rsidRPr="00AC40E0">
        <w:rPr>
          <w:vertAlign w:val="superscript"/>
        </w:rPr>
        <w:t>st</w:t>
      </w:r>
      <w:r w:rsidR="00AC40E0">
        <w:t xml:space="preserve"> century best captured by paraphrasing the Rime of the Ancient Mariner by </w:t>
      </w:r>
      <w:r w:rsidR="00AC40E0" w:rsidRPr="00AC40E0">
        <w:t>Samuel Taylor Coleridge</w:t>
      </w:r>
      <w:r w:rsidR="00AC40E0">
        <w:rPr>
          <w:rStyle w:val="FootnoteReference"/>
        </w:rPr>
        <w:footnoteReference w:id="4"/>
      </w:r>
      <w:r w:rsidR="00AC40E0">
        <w:t xml:space="preserve">: </w:t>
      </w:r>
    </w:p>
    <w:p w:rsidR="00AC40E0" w:rsidRPr="004F27D5" w:rsidRDefault="00E1576B" w:rsidP="004F27D5">
      <w:pPr>
        <w:jc w:val="center"/>
        <w:rPr>
          <w:i/>
        </w:rPr>
      </w:pPr>
      <w:r>
        <w:rPr>
          <w:i/>
          <w:noProof/>
        </w:rPr>
        <mc:AlternateContent>
          <mc:Choice Requires="wps">
            <w:drawing>
              <wp:inline distT="0" distB="0" distL="0" distR="0">
                <wp:extent cx="2238375" cy="495300"/>
                <wp:effectExtent l="95250" t="76200" r="123825" b="9525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495300"/>
                        </a:xfrm>
                        <a:prstGeom prst="rect">
                          <a:avLst/>
                        </a:prstGeom>
                        <a:solidFill>
                          <a:srgbClr val="FFFFFF"/>
                        </a:solidFill>
                        <a:ln w="9525">
                          <a:solidFill>
                            <a:srgbClr val="00457C"/>
                          </a:solidFill>
                          <a:miter lim="800000"/>
                          <a:headEnd/>
                          <a:tailEnd/>
                        </a:ln>
                        <a:effectLst>
                          <a:outerShdw blurRad="63500" sx="102000" sy="102000" algn="ctr" rotWithShape="0">
                            <a:srgbClr val="00457C">
                              <a:alpha val="40000"/>
                            </a:srgbClr>
                          </a:outerShdw>
                        </a:effectLst>
                      </wps:spPr>
                      <wps:txbx>
                        <w:txbxContent>
                          <w:p w:rsidR="00FB251E" w:rsidRPr="004F27D5" w:rsidRDefault="00FB251E" w:rsidP="004F27D5">
                            <w:pPr>
                              <w:jc w:val="center"/>
                              <w:rPr>
                                <w:sz w:val="24"/>
                              </w:rPr>
                            </w:pPr>
                            <w:r w:rsidRPr="004F27D5">
                              <w:rPr>
                                <w:i/>
                                <w:sz w:val="24"/>
                              </w:rPr>
                              <w:t>“Data, Data, Everywhere</w:t>
                            </w:r>
                            <w:r w:rsidRPr="004F27D5">
                              <w:rPr>
                                <w:i/>
                                <w:sz w:val="24"/>
                              </w:rPr>
                              <w:br/>
                            </w:r>
                            <w:proofErr w:type="gramStart"/>
                            <w:r w:rsidRPr="004F27D5">
                              <w:rPr>
                                <w:i/>
                                <w:sz w:val="24"/>
                              </w:rPr>
                              <w:t>And</w:t>
                            </w:r>
                            <w:proofErr w:type="gramEnd"/>
                            <w:r w:rsidRPr="004F27D5">
                              <w:rPr>
                                <w:i/>
                                <w:sz w:val="24"/>
                              </w:rPr>
                              <w:t xml:space="preserve"> not a thought to think.”</w:t>
                            </w:r>
                          </w:p>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176.25pt;height: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" strokecolor="#00457c">
                <v:shadow on="t" type="perspective" color="#00457c" opacity="26214f" offset="0,0" matrix="66847f,,,66847f"/>
                <v:textbox>
                  <w:txbxContent>
                    <w:p w:rsidR="00FB251E" w:rsidRPr="004F27D5" w:rsidRDefault="00FB251E" w:rsidP="004F27D5">
                      <w:pPr>
                        <w:jc w:val="center"/>
                        <w:rPr>
                          <w:sz w:val="24"/>
                        </w:rPr>
                      </w:pPr>
                      <w:r w:rsidRPr="004F27D5">
                        <w:rPr>
                          <w:i/>
                          <w:sz w:val="24"/>
                        </w:rPr>
                        <w:t>“Data, Data, Everywhere</w:t>
                      </w:r>
                      <w:r w:rsidRPr="004F27D5">
                        <w:rPr>
                          <w:i/>
                          <w:sz w:val="24"/>
                        </w:rPr>
                        <w:br/>
                        <w:t>And not a thought to think.”</w:t>
                      </w:r>
                    </w:p>
                  </w:txbxContent>
                </v:textbox>
                <w10:anchorlock/>
              </v:shape>
            </w:pict>
          </mc:Fallback>
        </mc:AlternateContent>
      </w:r>
    </w:p>
    <w:p w:rsidR="00AC40E0" w:rsidRDefault="00AC40E0" w:rsidP="006D1A5D">
      <w:r>
        <w:t>It is typical in many different fields to exhort practitioners to be “data-driven” and it</w:t>
      </w:r>
      <w:r w:rsidR="00826AAD">
        <w:t xml:space="preserve"> is also typical to accompany this exhortation with</w:t>
      </w:r>
      <w:r>
        <w:t xml:space="preserve"> huge volumes of data.</w:t>
      </w:r>
      <w:r w:rsidR="00826AAD">
        <w:t xml:space="preserve"> The problem in the 21</w:t>
      </w:r>
      <w:r w:rsidR="00826AAD" w:rsidRPr="00826AAD">
        <w:rPr>
          <w:vertAlign w:val="superscript"/>
        </w:rPr>
        <w:t>st</w:t>
      </w:r>
      <w:r w:rsidR="00826AAD">
        <w:t xml:space="preserve"> century is not a lack of data, but</w:t>
      </w:r>
      <w:r w:rsidR="00E17AAF">
        <w:t xml:space="preserve"> instead</w:t>
      </w:r>
      <w:r w:rsidR="00826AAD">
        <w:t xml:space="preserve"> </w:t>
      </w:r>
      <w:r w:rsidR="00BD5455">
        <w:t xml:space="preserve">it </w:t>
      </w:r>
      <w:r w:rsidR="00826AAD">
        <w:t xml:space="preserve">is having more data than you know what to do with. This version of </w:t>
      </w:r>
      <w:r w:rsidR="00F14986">
        <w:t xml:space="preserve">The </w:t>
      </w:r>
      <w:r w:rsidR="00826AAD">
        <w:t xml:space="preserve">Louisiana </w:t>
      </w:r>
      <w:r w:rsidR="00F14986">
        <w:t xml:space="preserve">State Epidemiological Profile </w:t>
      </w:r>
      <w:r w:rsidR="00826AAD">
        <w:t xml:space="preserve">is an attempt to provide not </w:t>
      </w:r>
      <w:r w:rsidR="007029EF">
        <w:t>just</w:t>
      </w:r>
      <w:r w:rsidR="00826AAD">
        <w:t xml:space="preserve"> data</w:t>
      </w:r>
      <w:r w:rsidR="003936AE">
        <w:t xml:space="preserve"> </w:t>
      </w:r>
      <w:r w:rsidR="00BD5455">
        <w:t>or even all of the data</w:t>
      </w:r>
      <w:r w:rsidR="00826AAD">
        <w:t xml:space="preserve">, but </w:t>
      </w:r>
      <w:r w:rsidR="00BD5455">
        <w:t>to, instead, provide the most relevant data for addressing</w:t>
      </w:r>
      <w:r w:rsidR="00826AAD">
        <w:t xml:space="preserve"> specific</w:t>
      </w:r>
      <w:r w:rsidR="00BD5455">
        <w:t>, prioritized</w:t>
      </w:r>
      <w:r w:rsidR="00826AAD">
        <w:t xml:space="preserve"> issues related to substance abuse prevention and mental health promotion.</w:t>
      </w:r>
      <w:r w:rsidR="007029EF">
        <w:t xml:space="preserve"> The SEW recognizes that not every reader of this report will have the same priorities as the state, so the</w:t>
      </w:r>
      <w:r w:rsidR="000C4272">
        <w:t xml:space="preserve"> most current</w:t>
      </w:r>
      <w:r w:rsidR="007029EF">
        <w:t xml:space="preserve"> data on all indicators continues to be available online</w:t>
      </w:r>
      <w:r w:rsidR="00D366E8">
        <w:t>.</w:t>
      </w:r>
      <w:r w:rsidR="007029EF">
        <w:t xml:space="preserve"> </w:t>
      </w:r>
    </w:p>
    <w:p w:rsidR="00FB2B22" w:rsidRDefault="00FB2B22" w:rsidP="006D1A5D">
      <w:pPr>
        <w:pStyle w:val="Heading2"/>
      </w:pPr>
      <w:bookmarkStart w:id="6" w:name="_Toc362873938"/>
      <w:r>
        <w:t xml:space="preserve">The Mission of the State </w:t>
      </w:r>
      <w:r w:rsidR="00F14986">
        <w:t xml:space="preserve">Epidemiology </w:t>
      </w:r>
      <w:r>
        <w:t>Workgroup</w:t>
      </w:r>
      <w:bookmarkEnd w:id="6"/>
    </w:p>
    <w:p w:rsidR="00A16FA0" w:rsidRDefault="00D4219D" w:rsidP="004E41FA">
      <w:pPr>
        <w:spacing w:after="0" w:line="240" w:lineRule="auto"/>
      </w:pPr>
      <w:r>
        <w:t>I</w:t>
      </w:r>
      <w:r w:rsidR="00FB2B22">
        <w:t xml:space="preserve">nitially, the SEW was populated with individuals from a wide range of agencies with a focus on establishing relationships with them so that relevant data could be accessed and made available for substance abuse prevention activities. With the support of the </w:t>
      </w:r>
      <w:r w:rsidR="0087332C">
        <w:t>DPB</w:t>
      </w:r>
      <w:r w:rsidR="00FB2B22">
        <w:t>, the SEW was very successful in establishing relationships and gaining access to available data from the agencies. As the SEW matured, the mission evolved from a focus on gathering data to providing recommendations on how to use the data to inform policy and evaluate the outcomes of substance abuse prevention activities.</w:t>
      </w:r>
    </w:p>
    <w:p w:rsidR="00811490" w:rsidRDefault="00811490" w:rsidP="006D1A5D">
      <w:pPr>
        <w:pStyle w:val="Heading2"/>
      </w:pPr>
      <w:bookmarkStart w:id="7" w:name="_Toc362873939"/>
      <w:r>
        <w:lastRenderedPageBreak/>
        <w:t>SEW Data Prioritization</w:t>
      </w:r>
      <w:bookmarkEnd w:id="7"/>
    </w:p>
    <w:p w:rsidR="00811490" w:rsidRDefault="00811490" w:rsidP="006D1A5D">
      <w:r>
        <w:t>As the mission of the SEW evolved, it became clear to SEW members that to best serve the DPB</w:t>
      </w:r>
      <w:r w:rsidR="004D7C56">
        <w:t xml:space="preserve"> the SEW should</w:t>
      </w:r>
      <w:r>
        <w:t xml:space="preserve"> creat</w:t>
      </w:r>
      <w:r w:rsidR="004D7C56">
        <w:t>e</w:t>
      </w:r>
      <w:r>
        <w:t xml:space="preserve"> a prioritized list of substance and associated</w:t>
      </w:r>
      <w:r w:rsidR="00E90AE7">
        <w:t xml:space="preserve"> risk and protective</w:t>
      </w:r>
      <w:r>
        <w:t xml:space="preserve"> indicators </w:t>
      </w:r>
      <w:r w:rsidR="00F86AC2">
        <w:t xml:space="preserve">that </w:t>
      </w:r>
      <w:r>
        <w:t xml:space="preserve">would be beneficial to </w:t>
      </w:r>
      <w:r w:rsidR="007B5A3C">
        <w:t>both</w:t>
      </w:r>
      <w:r>
        <w:t xml:space="preserve"> State and </w:t>
      </w:r>
      <w:r w:rsidR="002747A1">
        <w:t xml:space="preserve">community </w:t>
      </w:r>
      <w:r>
        <w:t>prevention</w:t>
      </w:r>
      <w:r w:rsidR="001B5AD4">
        <w:t xml:space="preserve"> stakeholders.</w:t>
      </w:r>
      <w:r w:rsidR="004D7C56">
        <w:t xml:space="preserve"> The details of the process that was used are available in Louisiana’s Strategic Plan for Substance Abuse Prevention published in July of 2012, but a brief overview will be presented here. The priorities set in this process are used to focus the content of this profile. While there is substantially more data available from the </w:t>
      </w:r>
      <w:r w:rsidR="00DF44DF">
        <w:t xml:space="preserve">SEW </w:t>
      </w:r>
      <w:r w:rsidR="004D7C56">
        <w:t xml:space="preserve">online </w:t>
      </w:r>
      <w:r w:rsidR="00DF44DF">
        <w:t xml:space="preserve">data </w:t>
      </w:r>
      <w:r w:rsidR="004D7C56">
        <w:t>system, this profile is focused on the priorities that were identified.</w:t>
      </w:r>
    </w:p>
    <w:p w:rsidR="004D7C56" w:rsidRDefault="004D7C56" w:rsidP="006D1A5D">
      <w:r>
        <w:t>A subcommittee of the SEW was convened to perform the prioritization process which began with a review of all of the data available based on the SEW’s data gathering activities</w:t>
      </w:r>
      <w:r w:rsidR="00F97D04">
        <w:t>, with a focus on consumption and consequence data</w:t>
      </w:r>
      <w:r w:rsidR="007A0387">
        <w:t>;</w:t>
      </w:r>
      <w:r w:rsidR="00F86AC2">
        <w:t xml:space="preserve"> limited data on </w:t>
      </w:r>
      <w:r w:rsidR="00E90AE7">
        <w:t>related behavioral health issues was available at the time of prioritization</w:t>
      </w:r>
      <w:r>
        <w:t xml:space="preserve">. </w:t>
      </w:r>
      <w:r w:rsidR="002747A1">
        <w:t>However, d</w:t>
      </w:r>
      <w:r w:rsidR="00D4219D">
        <w:t>ata on shared risk factors specifi</w:t>
      </w:r>
      <w:r w:rsidR="002747A1">
        <w:t>c</w:t>
      </w:r>
      <w:r w:rsidR="00D4219D">
        <w:t xml:space="preserve"> to suicide, depression and mental health</w:t>
      </w:r>
      <w:r w:rsidR="002747A1">
        <w:t xml:space="preserve"> from the most recent administration of the CCYS, the Youth Risk Behavioral Survey (YRBS) and the National Survey on Drug Use and Health (NSDUH)</w:t>
      </w:r>
      <w:r w:rsidR="00D4219D">
        <w:t xml:space="preserve"> is </w:t>
      </w:r>
      <w:r w:rsidR="002747A1">
        <w:t xml:space="preserve">highlighted in the behavioral health section of this profile. </w:t>
      </w:r>
      <w:r w:rsidR="00F97D04">
        <w:t xml:space="preserve">The review of the available </w:t>
      </w:r>
      <w:r w:rsidR="007A0387">
        <w:t xml:space="preserve">data </w:t>
      </w:r>
      <w:r w:rsidR="00F97D04" w:rsidRPr="00F97D04">
        <w:t xml:space="preserve">determined that the prioritization would include: consideration of consumption and consequence indicators for alcohol, tobacco, and illicit drugs to develop a comprehensive state plan; priority consideration of data available at the parish level; and application of basic epidemiology principles to determine priorities and areas of highest concern. The subcommittee also determined that the best data sources for Louisiana are the CCYS and the CORE </w:t>
      </w:r>
      <w:r w:rsidR="007A0387">
        <w:t>Alcohol and Drug S</w:t>
      </w:r>
      <w:r w:rsidR="00F97D04" w:rsidRPr="00F97D04">
        <w:t>urvey funded by the</w:t>
      </w:r>
      <w:r w:rsidR="003936AE">
        <w:t xml:space="preserve"> Office of Behavioral Health</w:t>
      </w:r>
      <w:r w:rsidR="00F97D04" w:rsidRPr="00F97D04">
        <w:t xml:space="preserve"> </w:t>
      </w:r>
      <w:r w:rsidR="003936AE">
        <w:t>(</w:t>
      </w:r>
      <w:r w:rsidR="00F97D04" w:rsidRPr="00F97D04">
        <w:t>OBH</w:t>
      </w:r>
      <w:r w:rsidR="003936AE">
        <w:t>)</w:t>
      </w:r>
      <w:r w:rsidR="00F97D04" w:rsidRPr="00F97D04">
        <w:t>.</w:t>
      </w:r>
    </w:p>
    <w:p w:rsidR="00F97D04" w:rsidRPr="00F97D04" w:rsidRDefault="00F97D04" w:rsidP="006D1A5D">
      <w:pPr>
        <w:rPr>
          <w:rFonts w:eastAsia="Times New Roman"/>
        </w:rPr>
      </w:pPr>
      <w:r w:rsidRPr="00F97D04">
        <w:rPr>
          <w:rFonts w:eastAsia="Times New Roman"/>
        </w:rPr>
        <w:t xml:space="preserve">Members of the SEW subcommittee assessed the data and considered the following questions: </w:t>
      </w:r>
    </w:p>
    <w:p w:rsidR="00F97D04" w:rsidRPr="006D1A5D" w:rsidRDefault="00F97D04" w:rsidP="006D1A5D">
      <w:pPr>
        <w:pStyle w:val="ListParagraph"/>
        <w:numPr>
          <w:ilvl w:val="0"/>
          <w:numId w:val="1"/>
        </w:numPr>
        <w:rPr>
          <w:rFonts w:eastAsia="Times New Roman"/>
        </w:rPr>
      </w:pPr>
      <w:r w:rsidRPr="006D1A5D">
        <w:rPr>
          <w:rFonts w:eastAsia="Times New Roman"/>
        </w:rPr>
        <w:t>What are the consumption patterns and consequences of alcohol, tobacco, and other drug use in Louisiana for which epidemiological data is available for all 64 parishes?</w:t>
      </w:r>
    </w:p>
    <w:p w:rsidR="00F97D04" w:rsidRPr="006D1A5D" w:rsidRDefault="00F97D04" w:rsidP="006D1A5D">
      <w:pPr>
        <w:pStyle w:val="ListParagraph"/>
        <w:numPr>
          <w:ilvl w:val="0"/>
          <w:numId w:val="1"/>
        </w:numPr>
        <w:rPr>
          <w:rFonts w:eastAsia="Times New Roman"/>
        </w:rPr>
      </w:pPr>
      <w:r w:rsidRPr="006D1A5D">
        <w:rPr>
          <w:rFonts w:eastAsia="Times New Roman"/>
        </w:rPr>
        <w:t>How close is the relationship between the consumption behavior and the consequence?</w:t>
      </w:r>
    </w:p>
    <w:p w:rsidR="00F97D04" w:rsidRPr="006D1A5D" w:rsidRDefault="00F97D04" w:rsidP="006D1A5D">
      <w:pPr>
        <w:pStyle w:val="ListParagraph"/>
        <w:numPr>
          <w:ilvl w:val="0"/>
          <w:numId w:val="1"/>
        </w:numPr>
        <w:rPr>
          <w:rFonts w:eastAsia="Times New Roman"/>
        </w:rPr>
      </w:pPr>
      <w:r w:rsidRPr="006D1A5D">
        <w:rPr>
          <w:rFonts w:eastAsia="Times New Roman"/>
        </w:rPr>
        <w:t>How does Louisiana compare to national rates of both consequences and consumption?</w:t>
      </w:r>
    </w:p>
    <w:p w:rsidR="00F97D04" w:rsidRPr="006D1A5D" w:rsidRDefault="00F97D04" w:rsidP="006D1A5D">
      <w:pPr>
        <w:pStyle w:val="ListParagraph"/>
        <w:numPr>
          <w:ilvl w:val="0"/>
          <w:numId w:val="1"/>
        </w:numPr>
        <w:rPr>
          <w:rFonts w:eastAsia="Times New Roman"/>
        </w:rPr>
      </w:pPr>
      <w:r w:rsidRPr="006D1A5D">
        <w:rPr>
          <w:rFonts w:eastAsia="Times New Roman"/>
        </w:rPr>
        <w:t>What are the state rate, percentage, and number of cases for each consequence and related consumption behavior?</w:t>
      </w:r>
    </w:p>
    <w:p w:rsidR="00F97D04" w:rsidRPr="00BC2FF6" w:rsidRDefault="00F97D04" w:rsidP="006D1A5D">
      <w:pPr>
        <w:rPr>
          <w:rFonts w:eastAsia="Times New Roman"/>
        </w:rPr>
      </w:pPr>
      <w:r w:rsidRPr="00BC2FF6">
        <w:rPr>
          <w:rFonts w:eastAsia="Times New Roman"/>
        </w:rPr>
        <w:t xml:space="preserve">The SEW subcommittee looked at the various consumption and consequence indicators within each substance category.  The subcommittee determined those indicators to be most tractable (malleable) and most proximal </w:t>
      </w:r>
      <w:proofErr w:type="gramStart"/>
      <w:r w:rsidRPr="00BC2FF6">
        <w:rPr>
          <w:rFonts w:eastAsia="Times New Roman"/>
        </w:rPr>
        <w:t>to</w:t>
      </w:r>
      <w:proofErr w:type="gramEnd"/>
      <w:r w:rsidRPr="00BC2FF6">
        <w:rPr>
          <w:rFonts w:eastAsia="Times New Roman"/>
        </w:rPr>
        <w:t xml:space="preserve"> actual substance use, when possible, for each substance.  An exception to this principle was including lung cancer mortality for tobacco use. Although lung cancer mortality is not proximal to the actual behavior, the strong association of lung cancer to smoking led to its consideration. Also noted, parishes not participating in the CCYS (Evangeline, St. Bernard and St. Tammany) and parishes not having sufficient public school participation in the CCYS (Orleans) were assigned the state rate when using the CCYS data for </w:t>
      </w:r>
      <w:r w:rsidR="002B031A">
        <w:rPr>
          <w:rFonts w:eastAsia="Times New Roman"/>
        </w:rPr>
        <w:t xml:space="preserve">this </w:t>
      </w:r>
      <w:r w:rsidR="002B031A" w:rsidRPr="00BC2FF6">
        <w:rPr>
          <w:rFonts w:eastAsia="Times New Roman"/>
        </w:rPr>
        <w:t>prioritization</w:t>
      </w:r>
      <w:r w:rsidRPr="00BC2FF6">
        <w:rPr>
          <w:rFonts w:eastAsia="Times New Roman"/>
        </w:rPr>
        <w:t xml:space="preserve"> process.</w:t>
      </w:r>
    </w:p>
    <w:p w:rsidR="00F97D04" w:rsidRPr="00BC2FF6" w:rsidRDefault="00F97D04" w:rsidP="006D1A5D">
      <w:pPr>
        <w:rPr>
          <w:rFonts w:eastAsia="Times New Roman"/>
        </w:rPr>
      </w:pPr>
      <w:r w:rsidRPr="00BC2FF6">
        <w:rPr>
          <w:rFonts w:eastAsia="Times New Roman"/>
        </w:rPr>
        <w:t>Members of the SEW subcommittee followed the prioritization process outlined below:</w:t>
      </w:r>
    </w:p>
    <w:p w:rsidR="00F97D04" w:rsidRPr="006D1A5D" w:rsidRDefault="00F97D04" w:rsidP="006D1A5D">
      <w:pPr>
        <w:pStyle w:val="ListParagraph"/>
        <w:numPr>
          <w:ilvl w:val="0"/>
          <w:numId w:val="2"/>
        </w:numPr>
        <w:rPr>
          <w:rFonts w:eastAsia="Times New Roman"/>
        </w:rPr>
      </w:pPr>
      <w:r w:rsidRPr="006D1A5D">
        <w:rPr>
          <w:rFonts w:eastAsia="Times New Roman"/>
        </w:rPr>
        <w:t>Prioritize consumption and consequence indicators of most concern for alcohol, tobacco and illicit drugs</w:t>
      </w:r>
    </w:p>
    <w:p w:rsidR="00F97D04" w:rsidRPr="006D1A5D" w:rsidRDefault="00F97D04" w:rsidP="006D1A5D">
      <w:pPr>
        <w:pStyle w:val="ListParagraph"/>
        <w:numPr>
          <w:ilvl w:val="0"/>
          <w:numId w:val="2"/>
        </w:numPr>
        <w:rPr>
          <w:rFonts w:eastAsia="Times New Roman"/>
        </w:rPr>
      </w:pPr>
      <w:r w:rsidRPr="006D1A5D">
        <w:rPr>
          <w:rFonts w:eastAsia="Times New Roman"/>
        </w:rPr>
        <w:t>Prioritize parishes (geographic areas) of highest concern for alcohol, tobacco and illicit drugs</w:t>
      </w:r>
    </w:p>
    <w:p w:rsidR="00F97D04" w:rsidRPr="00BC2FF6" w:rsidRDefault="00F97D04" w:rsidP="006D1A5D">
      <w:pPr>
        <w:rPr>
          <w:rFonts w:eastAsia="Times New Roman"/>
        </w:rPr>
      </w:pPr>
      <w:r w:rsidRPr="00BC2FF6">
        <w:rPr>
          <w:rFonts w:eastAsia="Times New Roman"/>
        </w:rPr>
        <w:lastRenderedPageBreak/>
        <w:t>Prioritization of substance and population will take place at the regional and community level during the strategic planning process. From the statewide perspective of the SEW the following indicators are listed along with the reasons for their inclusion:</w:t>
      </w:r>
    </w:p>
    <w:p w:rsidR="00F97D04" w:rsidRPr="00DF1FF1" w:rsidRDefault="00F97D04" w:rsidP="006D1A5D">
      <w:pPr>
        <w:pStyle w:val="Heading3"/>
      </w:pPr>
      <w:bookmarkStart w:id="8" w:name="_Toc362873940"/>
      <w:r w:rsidRPr="00DF1FF1">
        <w:t>Illicit Drugs</w:t>
      </w:r>
      <w:bookmarkEnd w:id="8"/>
    </w:p>
    <w:p w:rsidR="00F97D04" w:rsidRPr="00BC2FF6" w:rsidRDefault="00F97D04" w:rsidP="006D1A5D">
      <w:pPr>
        <w:rPr>
          <w:rFonts w:eastAsia="Times New Roman"/>
        </w:rPr>
      </w:pPr>
      <w:r w:rsidRPr="00BC2FF6">
        <w:rPr>
          <w:rFonts w:eastAsia="Times New Roman"/>
        </w:rPr>
        <w:t xml:space="preserve">Youth 30 Day Marijuana </w:t>
      </w:r>
    </w:p>
    <w:p w:rsidR="00F97D04" w:rsidRPr="006D1A5D" w:rsidRDefault="00F97D04" w:rsidP="006D1A5D">
      <w:pPr>
        <w:pStyle w:val="ListParagraph"/>
        <w:numPr>
          <w:ilvl w:val="0"/>
          <w:numId w:val="3"/>
        </w:numPr>
        <w:rPr>
          <w:rFonts w:eastAsia="Times New Roman"/>
        </w:rPr>
      </w:pPr>
      <w:r w:rsidRPr="006D1A5D">
        <w:rPr>
          <w:rFonts w:eastAsia="Times New Roman"/>
        </w:rPr>
        <w:t xml:space="preserve">Parish level data available – </w:t>
      </w:r>
      <w:r w:rsidR="0087332C">
        <w:rPr>
          <w:rFonts w:eastAsia="Times New Roman"/>
        </w:rPr>
        <w:t>CCYS</w:t>
      </w:r>
    </w:p>
    <w:p w:rsidR="00F97D04" w:rsidRPr="006D1A5D" w:rsidRDefault="00F97D04" w:rsidP="006D1A5D">
      <w:pPr>
        <w:pStyle w:val="ListParagraph"/>
        <w:numPr>
          <w:ilvl w:val="0"/>
          <w:numId w:val="3"/>
        </w:numPr>
        <w:rPr>
          <w:rFonts w:eastAsia="Times New Roman"/>
        </w:rPr>
      </w:pPr>
      <w:r w:rsidRPr="006D1A5D">
        <w:rPr>
          <w:rFonts w:eastAsia="Times New Roman"/>
        </w:rPr>
        <w:t>Significant number of users and people impacted to warrant monitoring</w:t>
      </w:r>
    </w:p>
    <w:p w:rsidR="00F97D04" w:rsidRPr="006D1A5D" w:rsidRDefault="00F97D04" w:rsidP="006D1A5D">
      <w:pPr>
        <w:pStyle w:val="ListParagraph"/>
        <w:numPr>
          <w:ilvl w:val="0"/>
          <w:numId w:val="3"/>
        </w:numPr>
        <w:rPr>
          <w:rFonts w:eastAsia="Times New Roman"/>
        </w:rPr>
      </w:pPr>
      <w:r w:rsidRPr="006D1A5D">
        <w:rPr>
          <w:rFonts w:eastAsia="Times New Roman"/>
        </w:rPr>
        <w:t>Gateway drug</w:t>
      </w:r>
    </w:p>
    <w:p w:rsidR="00F97D04" w:rsidRPr="006D1A5D" w:rsidRDefault="00F97D04" w:rsidP="006D1A5D">
      <w:pPr>
        <w:pStyle w:val="ListParagraph"/>
        <w:numPr>
          <w:ilvl w:val="0"/>
          <w:numId w:val="3"/>
        </w:numPr>
        <w:rPr>
          <w:rFonts w:eastAsia="Times New Roman"/>
        </w:rPr>
      </w:pPr>
      <w:r w:rsidRPr="006D1A5D">
        <w:rPr>
          <w:rFonts w:eastAsia="Times New Roman"/>
        </w:rPr>
        <w:t>May see a relationship with alcohol use (as alcohol use decreases, marijuana use may increase)</w:t>
      </w:r>
    </w:p>
    <w:p w:rsidR="00F97D04" w:rsidRPr="00BC2FF6" w:rsidRDefault="00F97D04" w:rsidP="006D1A5D">
      <w:pPr>
        <w:rPr>
          <w:rFonts w:eastAsia="Times New Roman"/>
        </w:rPr>
      </w:pPr>
      <w:r w:rsidRPr="00BC2FF6">
        <w:rPr>
          <w:rFonts w:eastAsia="Times New Roman"/>
        </w:rPr>
        <w:t>Drug Poisoning Deaths</w:t>
      </w:r>
    </w:p>
    <w:p w:rsidR="00F97D04" w:rsidRPr="006D1A5D" w:rsidRDefault="00F97D04" w:rsidP="006D1A5D">
      <w:pPr>
        <w:pStyle w:val="ListParagraph"/>
        <w:numPr>
          <w:ilvl w:val="0"/>
          <w:numId w:val="4"/>
        </w:numPr>
        <w:rPr>
          <w:rFonts w:eastAsia="Times New Roman"/>
        </w:rPr>
      </w:pPr>
      <w:r w:rsidRPr="006D1A5D">
        <w:rPr>
          <w:rFonts w:eastAsia="Times New Roman"/>
        </w:rPr>
        <w:t>Immediate outcome</w:t>
      </w:r>
    </w:p>
    <w:p w:rsidR="00F97D04" w:rsidRPr="006D1A5D" w:rsidRDefault="00F97D04" w:rsidP="006D1A5D">
      <w:pPr>
        <w:pStyle w:val="ListParagraph"/>
        <w:numPr>
          <w:ilvl w:val="0"/>
          <w:numId w:val="4"/>
        </w:numPr>
        <w:rPr>
          <w:rFonts w:eastAsia="Times New Roman"/>
        </w:rPr>
      </w:pPr>
      <w:r w:rsidRPr="006D1A5D">
        <w:rPr>
          <w:rFonts w:eastAsia="Times New Roman"/>
        </w:rPr>
        <w:t>Alarming trend and high state to national rate ratio</w:t>
      </w:r>
    </w:p>
    <w:p w:rsidR="00F97D04" w:rsidRPr="006D1A5D" w:rsidRDefault="00F97D04" w:rsidP="006D1A5D">
      <w:pPr>
        <w:pStyle w:val="ListParagraph"/>
        <w:numPr>
          <w:ilvl w:val="0"/>
          <w:numId w:val="4"/>
        </w:numPr>
        <w:rPr>
          <w:rFonts w:eastAsia="Times New Roman"/>
        </w:rPr>
      </w:pPr>
      <w:r w:rsidRPr="006D1A5D">
        <w:rPr>
          <w:rFonts w:eastAsia="Times New Roman"/>
        </w:rPr>
        <w:t xml:space="preserve">Limited parish level data available through SEDS (All parishes potentially available through </w:t>
      </w:r>
      <w:r w:rsidR="00006C07">
        <w:rPr>
          <w:rFonts w:eastAsia="Times New Roman"/>
        </w:rPr>
        <w:t>Louisiana Office of Public Health (</w:t>
      </w:r>
      <w:r w:rsidRPr="006D1A5D">
        <w:rPr>
          <w:rFonts w:eastAsia="Times New Roman"/>
        </w:rPr>
        <w:t>OPH)</w:t>
      </w:r>
      <w:r w:rsidR="00006C07">
        <w:rPr>
          <w:rFonts w:eastAsia="Times New Roman"/>
        </w:rPr>
        <w:t>).</w:t>
      </w:r>
    </w:p>
    <w:p w:rsidR="00F97D04" w:rsidRPr="006D1A5D" w:rsidRDefault="00F97D04" w:rsidP="006D1A5D">
      <w:pPr>
        <w:pStyle w:val="ListParagraph"/>
        <w:numPr>
          <w:ilvl w:val="0"/>
          <w:numId w:val="5"/>
        </w:numPr>
        <w:rPr>
          <w:rFonts w:eastAsia="Times New Roman"/>
        </w:rPr>
      </w:pPr>
      <w:r w:rsidRPr="006D1A5D">
        <w:rPr>
          <w:rFonts w:eastAsia="Times New Roman"/>
        </w:rPr>
        <w:t>Recommend getting a better understanding of composition of deaths included in indicator</w:t>
      </w:r>
    </w:p>
    <w:p w:rsidR="00F97D04" w:rsidRPr="00BC2FF6" w:rsidRDefault="00F97D04" w:rsidP="006D1A5D">
      <w:pPr>
        <w:pStyle w:val="Heading3"/>
      </w:pPr>
      <w:bookmarkStart w:id="9" w:name="_Toc362873941"/>
      <w:r w:rsidRPr="00BC2FF6">
        <w:t>Alcohol</w:t>
      </w:r>
      <w:bookmarkEnd w:id="9"/>
    </w:p>
    <w:p w:rsidR="00F97D04" w:rsidRPr="00BC2FF6" w:rsidRDefault="00F97D04" w:rsidP="006D1A5D">
      <w:pPr>
        <w:rPr>
          <w:rFonts w:eastAsia="Times New Roman"/>
        </w:rPr>
      </w:pPr>
      <w:r w:rsidRPr="00BC2FF6">
        <w:rPr>
          <w:rFonts w:eastAsia="Times New Roman"/>
        </w:rPr>
        <w:t>Number of alcohol related vehicle crashes resulting in injuries and fatalities</w:t>
      </w:r>
    </w:p>
    <w:p w:rsidR="00F97D04" w:rsidRPr="006D1A5D" w:rsidRDefault="00F97D04" w:rsidP="006D1A5D">
      <w:pPr>
        <w:pStyle w:val="ListParagraph"/>
        <w:numPr>
          <w:ilvl w:val="0"/>
          <w:numId w:val="5"/>
        </w:numPr>
        <w:rPr>
          <w:rFonts w:eastAsia="Times New Roman"/>
        </w:rPr>
      </w:pPr>
      <w:r w:rsidRPr="006D1A5D">
        <w:rPr>
          <w:rFonts w:eastAsia="Times New Roman"/>
        </w:rPr>
        <w:t>Parish level data available – Louisiana Highway Safety Commission</w:t>
      </w:r>
    </w:p>
    <w:p w:rsidR="00F97D04" w:rsidRPr="006D1A5D" w:rsidRDefault="00F97D04" w:rsidP="006D1A5D">
      <w:pPr>
        <w:pStyle w:val="ListParagraph"/>
        <w:numPr>
          <w:ilvl w:val="0"/>
          <w:numId w:val="5"/>
        </w:numPr>
        <w:rPr>
          <w:rFonts w:eastAsia="Times New Roman"/>
        </w:rPr>
      </w:pPr>
      <w:r w:rsidRPr="006D1A5D">
        <w:rPr>
          <w:rFonts w:eastAsia="Times New Roman"/>
        </w:rPr>
        <w:t>Immediate outcomes</w:t>
      </w:r>
    </w:p>
    <w:p w:rsidR="00F97D04" w:rsidRPr="006D1A5D" w:rsidRDefault="00F97D04" w:rsidP="006D1A5D">
      <w:pPr>
        <w:pStyle w:val="ListParagraph"/>
        <w:numPr>
          <w:ilvl w:val="0"/>
          <w:numId w:val="5"/>
        </w:numPr>
        <w:rPr>
          <w:rFonts w:eastAsia="Times New Roman"/>
        </w:rPr>
      </w:pPr>
      <w:r w:rsidRPr="006D1A5D">
        <w:rPr>
          <w:rFonts w:eastAsia="Times New Roman"/>
        </w:rPr>
        <w:t>High rates of concern</w:t>
      </w:r>
    </w:p>
    <w:p w:rsidR="00F97D04" w:rsidRPr="00BC2FF6" w:rsidRDefault="00F97D04" w:rsidP="006D1A5D">
      <w:pPr>
        <w:rPr>
          <w:rFonts w:eastAsia="Times New Roman"/>
        </w:rPr>
      </w:pPr>
      <w:r w:rsidRPr="00BC2FF6">
        <w:rPr>
          <w:rFonts w:eastAsia="Times New Roman"/>
        </w:rPr>
        <w:t xml:space="preserve">Youth 30 Day Alcohol </w:t>
      </w:r>
    </w:p>
    <w:p w:rsidR="00F97D04" w:rsidRPr="006D1A5D" w:rsidRDefault="00F97D04" w:rsidP="006D1A5D">
      <w:pPr>
        <w:pStyle w:val="ListParagraph"/>
        <w:numPr>
          <w:ilvl w:val="0"/>
          <w:numId w:val="4"/>
        </w:numPr>
        <w:rPr>
          <w:rFonts w:eastAsia="Times New Roman"/>
        </w:rPr>
      </w:pPr>
      <w:r w:rsidRPr="006D1A5D">
        <w:rPr>
          <w:rFonts w:eastAsia="Times New Roman"/>
        </w:rPr>
        <w:t xml:space="preserve">Parish level data available - </w:t>
      </w:r>
      <w:r w:rsidR="0087332C">
        <w:rPr>
          <w:rFonts w:eastAsia="Times New Roman"/>
        </w:rPr>
        <w:t>CCYS</w:t>
      </w:r>
    </w:p>
    <w:p w:rsidR="00F97D04" w:rsidRPr="006D1A5D" w:rsidRDefault="00F97D04" w:rsidP="006D1A5D">
      <w:pPr>
        <w:pStyle w:val="ListParagraph"/>
        <w:numPr>
          <w:ilvl w:val="0"/>
          <w:numId w:val="4"/>
        </w:numPr>
        <w:rPr>
          <w:rFonts w:eastAsia="Times New Roman"/>
        </w:rPr>
      </w:pPr>
      <w:r w:rsidRPr="006D1A5D">
        <w:rPr>
          <w:rFonts w:eastAsia="Times New Roman"/>
        </w:rPr>
        <w:t>Disparity between state rates and national rates</w:t>
      </w:r>
    </w:p>
    <w:p w:rsidR="00F97D04" w:rsidRPr="006D1A5D" w:rsidRDefault="00F97D04" w:rsidP="006D1A5D">
      <w:pPr>
        <w:pStyle w:val="ListParagraph"/>
        <w:numPr>
          <w:ilvl w:val="0"/>
          <w:numId w:val="4"/>
        </w:numPr>
        <w:rPr>
          <w:rFonts w:eastAsia="Times New Roman"/>
        </w:rPr>
      </w:pPr>
      <w:r w:rsidRPr="006D1A5D">
        <w:rPr>
          <w:rFonts w:eastAsia="Times New Roman"/>
        </w:rPr>
        <w:t>Trend not going down</w:t>
      </w:r>
    </w:p>
    <w:p w:rsidR="00F97D04" w:rsidRPr="00BC2FF6" w:rsidRDefault="00F97D04" w:rsidP="006D1A5D">
      <w:pPr>
        <w:rPr>
          <w:rFonts w:eastAsia="Times New Roman"/>
        </w:rPr>
      </w:pPr>
      <w:r w:rsidRPr="00BC2FF6">
        <w:rPr>
          <w:rFonts w:eastAsia="Times New Roman"/>
        </w:rPr>
        <w:t xml:space="preserve">Youth Binge Drinking </w:t>
      </w:r>
    </w:p>
    <w:p w:rsidR="00F97D04" w:rsidRPr="006D1A5D" w:rsidRDefault="00F97D04" w:rsidP="006D1A5D">
      <w:pPr>
        <w:pStyle w:val="ListParagraph"/>
        <w:numPr>
          <w:ilvl w:val="0"/>
          <w:numId w:val="6"/>
        </w:numPr>
        <w:rPr>
          <w:rFonts w:eastAsia="Times New Roman"/>
        </w:rPr>
      </w:pPr>
      <w:r w:rsidRPr="006D1A5D">
        <w:rPr>
          <w:rFonts w:eastAsia="Times New Roman"/>
        </w:rPr>
        <w:t xml:space="preserve">Parish level data available - </w:t>
      </w:r>
      <w:r w:rsidR="0087332C">
        <w:rPr>
          <w:rFonts w:eastAsia="Times New Roman"/>
        </w:rPr>
        <w:t>CCYS</w:t>
      </w:r>
    </w:p>
    <w:p w:rsidR="00F97D04" w:rsidRPr="006D1A5D" w:rsidRDefault="00F97D04" w:rsidP="006D1A5D">
      <w:pPr>
        <w:pStyle w:val="ListParagraph"/>
        <w:numPr>
          <w:ilvl w:val="0"/>
          <w:numId w:val="7"/>
        </w:numPr>
        <w:rPr>
          <w:rFonts w:eastAsia="Times New Roman"/>
        </w:rPr>
      </w:pPr>
      <w:r w:rsidRPr="006D1A5D">
        <w:rPr>
          <w:rFonts w:eastAsia="Times New Roman"/>
        </w:rPr>
        <w:t>Indicator of risky behavior</w:t>
      </w:r>
    </w:p>
    <w:p w:rsidR="00F97D04" w:rsidRPr="006D1A5D" w:rsidRDefault="00F97D04" w:rsidP="006D1A5D">
      <w:pPr>
        <w:pStyle w:val="ListParagraph"/>
        <w:numPr>
          <w:ilvl w:val="0"/>
          <w:numId w:val="7"/>
        </w:numPr>
        <w:rPr>
          <w:rFonts w:eastAsia="Times New Roman"/>
        </w:rPr>
      </w:pPr>
      <w:r w:rsidRPr="006D1A5D">
        <w:rPr>
          <w:rFonts w:eastAsia="Times New Roman"/>
        </w:rPr>
        <w:t>Above national rates in all 3 categories (8</w:t>
      </w:r>
      <w:r w:rsidRPr="006D1A5D">
        <w:rPr>
          <w:rFonts w:eastAsia="Times New Roman"/>
          <w:vertAlign w:val="superscript"/>
        </w:rPr>
        <w:t>th</w:t>
      </w:r>
      <w:r w:rsidRPr="006D1A5D">
        <w:rPr>
          <w:rFonts w:eastAsia="Times New Roman"/>
        </w:rPr>
        <w:t xml:space="preserve"> grade, 10</w:t>
      </w:r>
      <w:r w:rsidRPr="006D1A5D">
        <w:rPr>
          <w:rFonts w:eastAsia="Times New Roman"/>
          <w:vertAlign w:val="superscript"/>
        </w:rPr>
        <w:t>th</w:t>
      </w:r>
      <w:r w:rsidRPr="006D1A5D">
        <w:rPr>
          <w:rFonts w:eastAsia="Times New Roman"/>
        </w:rPr>
        <w:t xml:space="preserve"> grade and 12</w:t>
      </w:r>
      <w:r w:rsidRPr="006D1A5D">
        <w:rPr>
          <w:rFonts w:eastAsia="Times New Roman"/>
          <w:vertAlign w:val="superscript"/>
        </w:rPr>
        <w:t>th</w:t>
      </w:r>
      <w:r w:rsidRPr="006D1A5D">
        <w:rPr>
          <w:rFonts w:eastAsia="Times New Roman"/>
        </w:rPr>
        <w:t xml:space="preserve"> grade)</w:t>
      </w:r>
    </w:p>
    <w:p w:rsidR="00F97D04" w:rsidRPr="00BC2FF6" w:rsidRDefault="00F97D04" w:rsidP="006D1A5D">
      <w:pPr>
        <w:pStyle w:val="Heading3"/>
      </w:pPr>
      <w:bookmarkStart w:id="10" w:name="_Toc362873942"/>
      <w:r w:rsidRPr="00BC2FF6">
        <w:t>Tobacco</w:t>
      </w:r>
      <w:bookmarkEnd w:id="10"/>
    </w:p>
    <w:p w:rsidR="00F97D04" w:rsidRPr="00BC2FF6" w:rsidRDefault="00F97D04" w:rsidP="006D1A5D">
      <w:pPr>
        <w:rPr>
          <w:rFonts w:eastAsia="Times New Roman"/>
        </w:rPr>
      </w:pPr>
      <w:r w:rsidRPr="00BC2FF6">
        <w:rPr>
          <w:rFonts w:eastAsia="Times New Roman"/>
        </w:rPr>
        <w:t xml:space="preserve">Youth 30 Day Tobacco Use </w:t>
      </w:r>
    </w:p>
    <w:p w:rsidR="00F97D04" w:rsidRPr="006D1A5D" w:rsidRDefault="00F97D04" w:rsidP="006D1A5D">
      <w:pPr>
        <w:pStyle w:val="ListParagraph"/>
        <w:numPr>
          <w:ilvl w:val="0"/>
          <w:numId w:val="4"/>
        </w:numPr>
        <w:rPr>
          <w:rFonts w:eastAsia="Times New Roman"/>
        </w:rPr>
      </w:pPr>
      <w:r w:rsidRPr="006D1A5D">
        <w:rPr>
          <w:rFonts w:eastAsia="Times New Roman"/>
        </w:rPr>
        <w:t xml:space="preserve">Parish level data available - </w:t>
      </w:r>
      <w:r w:rsidR="0087332C">
        <w:rPr>
          <w:rFonts w:eastAsia="Times New Roman"/>
        </w:rPr>
        <w:t>CCYS</w:t>
      </w:r>
    </w:p>
    <w:p w:rsidR="00F97D04" w:rsidRPr="006D1A5D" w:rsidRDefault="00F97D04" w:rsidP="006D1A5D">
      <w:pPr>
        <w:pStyle w:val="ListParagraph"/>
        <w:numPr>
          <w:ilvl w:val="0"/>
          <w:numId w:val="4"/>
        </w:numPr>
        <w:rPr>
          <w:rFonts w:eastAsia="Times New Roman"/>
        </w:rPr>
      </w:pPr>
      <w:r w:rsidRPr="006D1A5D">
        <w:rPr>
          <w:rFonts w:eastAsia="Times New Roman"/>
        </w:rPr>
        <w:t>Disparity between state rates and national rates</w:t>
      </w:r>
    </w:p>
    <w:p w:rsidR="00F97D04" w:rsidRPr="006D1A5D" w:rsidRDefault="00F97D04" w:rsidP="006D1A5D">
      <w:pPr>
        <w:pStyle w:val="ListParagraph"/>
        <w:numPr>
          <w:ilvl w:val="0"/>
          <w:numId w:val="4"/>
        </w:numPr>
        <w:rPr>
          <w:rFonts w:eastAsia="Times New Roman"/>
        </w:rPr>
      </w:pPr>
      <w:r w:rsidRPr="006D1A5D">
        <w:rPr>
          <w:rFonts w:eastAsia="Times New Roman"/>
        </w:rPr>
        <w:t>Above national rates in all 3 categories (8</w:t>
      </w:r>
      <w:r w:rsidRPr="006D1A5D">
        <w:rPr>
          <w:rFonts w:eastAsia="Times New Roman"/>
          <w:vertAlign w:val="superscript"/>
        </w:rPr>
        <w:t>th</w:t>
      </w:r>
      <w:r w:rsidRPr="006D1A5D">
        <w:rPr>
          <w:rFonts w:eastAsia="Times New Roman"/>
        </w:rPr>
        <w:t xml:space="preserve"> grade, 10</w:t>
      </w:r>
      <w:r w:rsidRPr="006D1A5D">
        <w:rPr>
          <w:rFonts w:eastAsia="Times New Roman"/>
          <w:vertAlign w:val="superscript"/>
        </w:rPr>
        <w:t>th</w:t>
      </w:r>
      <w:r w:rsidRPr="006D1A5D">
        <w:rPr>
          <w:rFonts w:eastAsia="Times New Roman"/>
        </w:rPr>
        <w:t xml:space="preserve"> grade and 12</w:t>
      </w:r>
      <w:r w:rsidRPr="006D1A5D">
        <w:rPr>
          <w:rFonts w:eastAsia="Times New Roman"/>
          <w:vertAlign w:val="superscript"/>
        </w:rPr>
        <w:t>th</w:t>
      </w:r>
      <w:r w:rsidRPr="006D1A5D">
        <w:rPr>
          <w:rFonts w:eastAsia="Times New Roman"/>
        </w:rPr>
        <w:t xml:space="preserve"> grade)</w:t>
      </w:r>
    </w:p>
    <w:p w:rsidR="00F97D04" w:rsidRPr="00BC2FF6" w:rsidRDefault="00F97D04" w:rsidP="006D1A5D">
      <w:pPr>
        <w:rPr>
          <w:rFonts w:eastAsia="Times New Roman"/>
        </w:rPr>
      </w:pPr>
      <w:r w:rsidRPr="00BC2FF6">
        <w:rPr>
          <w:rFonts w:eastAsia="Times New Roman"/>
        </w:rPr>
        <w:lastRenderedPageBreak/>
        <w:t xml:space="preserve">Youth Heavy Cigarette Use </w:t>
      </w:r>
    </w:p>
    <w:p w:rsidR="00F97D04" w:rsidRPr="006D1A5D" w:rsidRDefault="00F97D04" w:rsidP="006D1A5D">
      <w:pPr>
        <w:pStyle w:val="ListParagraph"/>
        <w:numPr>
          <w:ilvl w:val="0"/>
          <w:numId w:val="8"/>
        </w:numPr>
        <w:rPr>
          <w:rFonts w:eastAsia="Times New Roman"/>
        </w:rPr>
      </w:pPr>
      <w:r w:rsidRPr="006D1A5D">
        <w:rPr>
          <w:rFonts w:eastAsia="Times New Roman"/>
        </w:rPr>
        <w:t xml:space="preserve">Parish level data available – </w:t>
      </w:r>
      <w:r w:rsidR="0087332C">
        <w:rPr>
          <w:rFonts w:eastAsia="Times New Roman"/>
        </w:rPr>
        <w:t>CCYS</w:t>
      </w:r>
    </w:p>
    <w:p w:rsidR="00F97D04" w:rsidRPr="006D1A5D" w:rsidRDefault="00F97D04" w:rsidP="006D1A5D">
      <w:pPr>
        <w:pStyle w:val="ListParagraph"/>
        <w:numPr>
          <w:ilvl w:val="0"/>
          <w:numId w:val="8"/>
        </w:numPr>
        <w:rPr>
          <w:rFonts w:eastAsia="Times New Roman"/>
        </w:rPr>
      </w:pPr>
      <w:r w:rsidRPr="006D1A5D">
        <w:rPr>
          <w:rFonts w:eastAsia="Times New Roman"/>
        </w:rPr>
        <w:t>Above national rates in all 3 categories (8</w:t>
      </w:r>
      <w:r w:rsidRPr="006D1A5D">
        <w:rPr>
          <w:rFonts w:eastAsia="Times New Roman"/>
          <w:vertAlign w:val="superscript"/>
        </w:rPr>
        <w:t>th</w:t>
      </w:r>
      <w:r w:rsidRPr="006D1A5D">
        <w:rPr>
          <w:rFonts w:eastAsia="Times New Roman"/>
        </w:rPr>
        <w:t xml:space="preserve"> grade, 10</w:t>
      </w:r>
      <w:r w:rsidRPr="006D1A5D">
        <w:rPr>
          <w:rFonts w:eastAsia="Times New Roman"/>
          <w:vertAlign w:val="superscript"/>
        </w:rPr>
        <w:t>th</w:t>
      </w:r>
      <w:r w:rsidRPr="006D1A5D">
        <w:rPr>
          <w:rFonts w:eastAsia="Times New Roman"/>
        </w:rPr>
        <w:t xml:space="preserve"> grade and 12</w:t>
      </w:r>
      <w:r w:rsidRPr="006D1A5D">
        <w:rPr>
          <w:rFonts w:eastAsia="Times New Roman"/>
          <w:vertAlign w:val="superscript"/>
        </w:rPr>
        <w:t>th</w:t>
      </w:r>
      <w:r w:rsidRPr="006D1A5D">
        <w:rPr>
          <w:rFonts w:eastAsia="Times New Roman"/>
        </w:rPr>
        <w:t xml:space="preserve"> grade)</w:t>
      </w:r>
    </w:p>
    <w:p w:rsidR="00F97D04" w:rsidRPr="006D1A5D" w:rsidRDefault="00F97D04" w:rsidP="006D1A5D">
      <w:pPr>
        <w:pStyle w:val="ListParagraph"/>
        <w:numPr>
          <w:ilvl w:val="0"/>
          <w:numId w:val="8"/>
        </w:numPr>
        <w:rPr>
          <w:rFonts w:eastAsia="Times New Roman"/>
        </w:rPr>
      </w:pPr>
      <w:r w:rsidRPr="006D1A5D">
        <w:rPr>
          <w:rFonts w:eastAsia="Times New Roman"/>
        </w:rPr>
        <w:t>Heavy Tobacco use, defined as ½ pack or more per day, constitutes concern</w:t>
      </w:r>
    </w:p>
    <w:p w:rsidR="00F97D04" w:rsidRPr="00BC2FF6" w:rsidRDefault="00F97D04" w:rsidP="006D1A5D">
      <w:pPr>
        <w:rPr>
          <w:rFonts w:eastAsia="Times New Roman"/>
        </w:rPr>
      </w:pPr>
      <w:r w:rsidRPr="00BC2FF6">
        <w:rPr>
          <w:rFonts w:eastAsia="Times New Roman"/>
        </w:rPr>
        <w:t xml:space="preserve">Adult Heavy Tobacco Use – College </w:t>
      </w:r>
    </w:p>
    <w:p w:rsidR="00F97D04" w:rsidRPr="006D1A5D" w:rsidRDefault="00F97D04" w:rsidP="006D1A5D">
      <w:pPr>
        <w:pStyle w:val="ListParagraph"/>
        <w:numPr>
          <w:ilvl w:val="0"/>
          <w:numId w:val="9"/>
        </w:numPr>
        <w:rPr>
          <w:rFonts w:eastAsia="Times New Roman"/>
        </w:rPr>
      </w:pPr>
      <w:r w:rsidRPr="006D1A5D">
        <w:rPr>
          <w:rFonts w:eastAsia="Times New Roman"/>
        </w:rPr>
        <w:t>Institutions of higher education data available – CORE</w:t>
      </w:r>
    </w:p>
    <w:p w:rsidR="00F97D04" w:rsidRPr="006D1A5D" w:rsidRDefault="00F97D04" w:rsidP="006D1A5D">
      <w:pPr>
        <w:pStyle w:val="ListParagraph"/>
        <w:numPr>
          <w:ilvl w:val="0"/>
          <w:numId w:val="9"/>
        </w:numPr>
        <w:rPr>
          <w:rFonts w:eastAsia="Times New Roman"/>
        </w:rPr>
      </w:pPr>
      <w:r w:rsidRPr="006D1A5D">
        <w:rPr>
          <w:rFonts w:eastAsia="Times New Roman"/>
        </w:rPr>
        <w:t>Above national rates</w:t>
      </w:r>
    </w:p>
    <w:p w:rsidR="00F97D04" w:rsidRPr="006D1A5D" w:rsidRDefault="00F97D04" w:rsidP="006D1A5D">
      <w:pPr>
        <w:pStyle w:val="ListParagraph"/>
        <w:numPr>
          <w:ilvl w:val="0"/>
          <w:numId w:val="10"/>
        </w:numPr>
        <w:rPr>
          <w:rFonts w:eastAsia="Times New Roman"/>
        </w:rPr>
      </w:pPr>
      <w:r w:rsidRPr="006D1A5D">
        <w:rPr>
          <w:rFonts w:eastAsia="Times New Roman"/>
        </w:rPr>
        <w:t xml:space="preserve">Heavy Tobacco Use defined as using 3 or more times per week constitutes concern </w:t>
      </w:r>
    </w:p>
    <w:p w:rsidR="00F97D04" w:rsidRPr="00BC2FF6" w:rsidRDefault="00F97D04" w:rsidP="006D1A5D">
      <w:pPr>
        <w:rPr>
          <w:rFonts w:eastAsia="Times New Roman"/>
        </w:rPr>
      </w:pPr>
      <w:r w:rsidRPr="00BC2FF6">
        <w:rPr>
          <w:rFonts w:eastAsia="Times New Roman"/>
        </w:rPr>
        <w:t xml:space="preserve">Adult Daily Cigarette Use  </w:t>
      </w:r>
    </w:p>
    <w:p w:rsidR="00F97D04" w:rsidRPr="006D1A5D" w:rsidRDefault="00F97D04" w:rsidP="006D1A5D">
      <w:pPr>
        <w:pStyle w:val="ListParagraph"/>
        <w:numPr>
          <w:ilvl w:val="0"/>
          <w:numId w:val="10"/>
        </w:numPr>
        <w:rPr>
          <w:rFonts w:eastAsia="Times New Roman"/>
        </w:rPr>
      </w:pPr>
      <w:r w:rsidRPr="006D1A5D">
        <w:rPr>
          <w:rFonts w:eastAsia="Times New Roman"/>
        </w:rPr>
        <w:t>Only state level data available but data from 3 different surveys allows you to look at the impact on 3 very different populations – Behavioral Risk Factor Surveillance Survey</w:t>
      </w:r>
      <w:r w:rsidR="0087332C">
        <w:rPr>
          <w:rFonts w:eastAsia="Times New Roman"/>
        </w:rPr>
        <w:t xml:space="preserve"> (BRFSS)</w:t>
      </w:r>
    </w:p>
    <w:p w:rsidR="00F97D04" w:rsidRPr="006D1A5D" w:rsidRDefault="00F97D04" w:rsidP="006D1A5D">
      <w:pPr>
        <w:pStyle w:val="ListParagraph"/>
        <w:numPr>
          <w:ilvl w:val="0"/>
          <w:numId w:val="10"/>
        </w:numPr>
        <w:rPr>
          <w:rFonts w:eastAsia="Times New Roman"/>
        </w:rPr>
      </w:pPr>
      <w:r w:rsidRPr="006D1A5D">
        <w:rPr>
          <w:rFonts w:eastAsia="Times New Roman"/>
        </w:rPr>
        <w:t xml:space="preserve">Above national rates </w:t>
      </w:r>
    </w:p>
    <w:p w:rsidR="00F97D04" w:rsidRPr="00BC2FF6" w:rsidRDefault="00F97D04" w:rsidP="006D1A5D">
      <w:pPr>
        <w:rPr>
          <w:rFonts w:eastAsia="Times New Roman"/>
        </w:rPr>
      </w:pPr>
      <w:r w:rsidRPr="00BC2FF6">
        <w:rPr>
          <w:rFonts w:eastAsia="Times New Roman"/>
        </w:rPr>
        <w:t xml:space="preserve">Lung Cancer </w:t>
      </w:r>
    </w:p>
    <w:p w:rsidR="00F97D04" w:rsidRPr="006D1A5D" w:rsidRDefault="00F97D04" w:rsidP="006D1A5D">
      <w:pPr>
        <w:pStyle w:val="ListParagraph"/>
        <w:numPr>
          <w:ilvl w:val="0"/>
          <w:numId w:val="11"/>
        </w:numPr>
        <w:rPr>
          <w:rFonts w:eastAsia="Times New Roman"/>
        </w:rPr>
      </w:pPr>
      <w:r w:rsidRPr="006D1A5D">
        <w:rPr>
          <w:rFonts w:eastAsia="Times New Roman"/>
        </w:rPr>
        <w:t>Although lung cancer mortality</w:t>
      </w:r>
      <w:r w:rsidRPr="006D1A5D">
        <w:rPr>
          <w:rFonts w:eastAsia="Times New Roman"/>
          <w:i/>
        </w:rPr>
        <w:t xml:space="preserve"> </w:t>
      </w:r>
      <w:r w:rsidRPr="006D1A5D">
        <w:rPr>
          <w:rFonts w:eastAsia="Times New Roman"/>
        </w:rPr>
        <w:t xml:space="preserve">is not proximal to the actual behavior, the strong association of lung cancer to smoking led to its choice as an indicator </w:t>
      </w:r>
    </w:p>
    <w:p w:rsidR="00F97D04" w:rsidRPr="00BC2FF6" w:rsidRDefault="00F97D04" w:rsidP="006D1A5D">
      <w:pPr>
        <w:rPr>
          <w:rFonts w:eastAsia="Times New Roman"/>
        </w:rPr>
      </w:pPr>
      <w:r w:rsidRPr="00BC2FF6">
        <w:rPr>
          <w:rFonts w:eastAsia="Times New Roman"/>
        </w:rPr>
        <w:t xml:space="preserve">For the purposes of this profile, </w:t>
      </w:r>
      <w:r w:rsidR="00BC2FF6">
        <w:rPr>
          <w:rFonts w:eastAsia="Times New Roman"/>
        </w:rPr>
        <w:t>the data reported here will closely follow</w:t>
      </w:r>
      <w:r w:rsidR="00660248">
        <w:rPr>
          <w:rFonts w:eastAsia="Times New Roman"/>
        </w:rPr>
        <w:t xml:space="preserve"> the above list of indicators, but will include some additional</w:t>
      </w:r>
      <w:r w:rsidR="002747A1">
        <w:rPr>
          <w:rFonts w:eastAsia="Times New Roman"/>
        </w:rPr>
        <w:t xml:space="preserve"> behavioral</w:t>
      </w:r>
      <w:r w:rsidR="00660248">
        <w:rPr>
          <w:rFonts w:eastAsia="Times New Roman"/>
        </w:rPr>
        <w:t xml:space="preserve"> indicators that are directly related. The list of indicators above is closely focused on youth indicators with only a handful of adult indicators included. One of the reasons that more adult indicators were not included in the prioritized list was a simple lack of availability </w:t>
      </w:r>
      <w:r w:rsidR="007F6C7E">
        <w:rPr>
          <w:rFonts w:eastAsia="Times New Roman"/>
        </w:rPr>
        <w:t xml:space="preserve">of </w:t>
      </w:r>
      <w:r w:rsidR="002747A1">
        <w:rPr>
          <w:rFonts w:eastAsia="Times New Roman"/>
        </w:rPr>
        <w:t xml:space="preserve">data </w:t>
      </w:r>
      <w:r w:rsidR="00660248">
        <w:rPr>
          <w:rFonts w:eastAsia="Times New Roman"/>
        </w:rPr>
        <w:t xml:space="preserve">on the regional and parish levels.  While this limitation still holds, the state level data is included for adult indicators to provide additional context </w:t>
      </w:r>
      <w:r w:rsidR="00616A9F">
        <w:rPr>
          <w:rFonts w:eastAsia="Times New Roman"/>
        </w:rPr>
        <w:t>for</w:t>
      </w:r>
      <w:r w:rsidR="00660248">
        <w:rPr>
          <w:rFonts w:eastAsia="Times New Roman"/>
        </w:rPr>
        <w:t xml:space="preserve"> understanding the youth indicators. While still maintaining the youth population targeted via the prioritization process, </w:t>
      </w:r>
      <w:r w:rsidR="002B031A">
        <w:rPr>
          <w:rFonts w:eastAsia="Times New Roman"/>
        </w:rPr>
        <w:t xml:space="preserve">this </w:t>
      </w:r>
      <w:r w:rsidR="00660248">
        <w:rPr>
          <w:rFonts w:eastAsia="Times New Roman"/>
        </w:rPr>
        <w:t>state</w:t>
      </w:r>
      <w:r w:rsidR="002B031A">
        <w:rPr>
          <w:rFonts w:eastAsia="Times New Roman"/>
        </w:rPr>
        <w:t xml:space="preserve"> epidemiological</w:t>
      </w:r>
      <w:r w:rsidR="00660248">
        <w:rPr>
          <w:rFonts w:eastAsia="Times New Roman"/>
        </w:rPr>
        <w:t xml:space="preserve"> profile slightly expands the indicators presented to provide a more expansive view </w:t>
      </w:r>
      <w:r w:rsidR="00933F1A">
        <w:rPr>
          <w:rFonts w:eastAsia="Times New Roman"/>
        </w:rPr>
        <w:t>of the</w:t>
      </w:r>
      <w:r w:rsidR="002B031A">
        <w:rPr>
          <w:rFonts w:eastAsia="Times New Roman"/>
        </w:rPr>
        <w:t xml:space="preserve"> shared risk factors </w:t>
      </w:r>
      <w:r w:rsidR="00933F1A">
        <w:rPr>
          <w:rFonts w:eastAsia="Times New Roman"/>
        </w:rPr>
        <w:t xml:space="preserve">between substance use and related mental, emotional and </w:t>
      </w:r>
      <w:r w:rsidR="00363320">
        <w:rPr>
          <w:rFonts w:eastAsia="Times New Roman"/>
        </w:rPr>
        <w:t>behavioral</w:t>
      </w:r>
      <w:r w:rsidR="00933F1A">
        <w:rPr>
          <w:rFonts w:eastAsia="Times New Roman"/>
        </w:rPr>
        <w:t xml:space="preserve"> problems.</w:t>
      </w:r>
    </w:p>
    <w:p w:rsidR="006A176C" w:rsidRDefault="006A176C" w:rsidP="006D1A5D">
      <w:pPr>
        <w:pStyle w:val="Heading2"/>
      </w:pPr>
      <w:bookmarkStart w:id="11" w:name="_Toc362873943"/>
      <w:r>
        <w:t xml:space="preserve">The Organization of </w:t>
      </w:r>
      <w:r w:rsidR="00363320">
        <w:t>t</w:t>
      </w:r>
      <w:r w:rsidR="007C60FB">
        <w:t xml:space="preserve">he Louisiana State Epidemiological </w:t>
      </w:r>
      <w:r>
        <w:t>Profile</w:t>
      </w:r>
      <w:bookmarkEnd w:id="11"/>
    </w:p>
    <w:p w:rsidR="006A176C" w:rsidRDefault="00042466" w:rsidP="006D1A5D">
      <w:r>
        <w:t xml:space="preserve">The </w:t>
      </w:r>
      <w:r w:rsidR="007C60FB">
        <w:t>Louisiana State Epidemiological</w:t>
      </w:r>
      <w:r>
        <w:t xml:space="preserve"> Profile is organized </w:t>
      </w:r>
      <w:r w:rsidR="00512BEC">
        <w:t>in relation</w:t>
      </w:r>
      <w:r>
        <w:t xml:space="preserve"> to the prioritized list of substances. </w:t>
      </w:r>
      <w:r w:rsidR="00DF5999">
        <w:t>First, there is a section that briefly describes the overall population in the State of Louisiana. This is followed by a section on the substance abuse indicators with</w:t>
      </w:r>
      <w:r>
        <w:t xml:space="preserve"> separate subsection</w:t>
      </w:r>
      <w:r w:rsidR="00DF5999">
        <w:t>s</w:t>
      </w:r>
      <w:r>
        <w:t xml:space="preserve"> for alcohol, tobacco, and marijuana. As discussed above, there is more data available than is included here and this is particularly true for other drugs</w:t>
      </w:r>
      <w:r w:rsidR="007C60FB">
        <w:t xml:space="preserve"> and </w:t>
      </w:r>
      <w:r w:rsidR="001F55AE">
        <w:t xml:space="preserve">related </w:t>
      </w:r>
      <w:r w:rsidR="007C60FB">
        <w:t>behavioral health indicators</w:t>
      </w:r>
      <w:r>
        <w:t>. Data on both youth and adult consumption of other drugs such as cocaine, prescription drugs, and m</w:t>
      </w:r>
      <w:r w:rsidRPr="00042466">
        <w:t>ethamphetamine</w:t>
      </w:r>
      <w:r>
        <w:t>s are available, but the focus of the profile is on the prioritized substances of alcohol, tobacco and marijuana. The prioritization process resulted in a strong focus on youth consumption, but the parallel adult and higher education indicators are also included where available and appropriate. Prevention activities may target youth, but an understanding of the adult consumption and consequence patterns provides an important and relevant context for a focus on youth.</w:t>
      </w:r>
    </w:p>
    <w:p w:rsidR="00CA2C95" w:rsidRPr="006A176C" w:rsidRDefault="00CA2C95" w:rsidP="006D1A5D">
      <w:r>
        <w:lastRenderedPageBreak/>
        <w:t>Finally, a note on the conventions that will be used in this report to display data in tables, charts, graphs and maps. Generally, where parish-level data is presented it will come in the form of a map of the state</w:t>
      </w:r>
      <w:r>
        <w:rPr>
          <w:rStyle w:val="FootnoteReference"/>
        </w:rPr>
        <w:footnoteReference w:id="5"/>
      </w:r>
      <w:r>
        <w:t>. Each parish will be colored according to the statistical quartile within which they fall. There are 64 parishes</w:t>
      </w:r>
      <w:r w:rsidR="00933F1A">
        <w:t>/ communities</w:t>
      </w:r>
      <w:r>
        <w:t xml:space="preserve"> within Louisiana, so there will be 16 parishes that fall within each quartile. Those parishes that fall into one of the two </w:t>
      </w:r>
      <w:r w:rsidR="007C60FB">
        <w:t>"low risk"</w:t>
      </w:r>
      <w:r>
        <w:t xml:space="preserve"> quartiles will be shaded in greens while parishes in the two </w:t>
      </w:r>
      <w:r w:rsidR="007C60FB">
        <w:t>"high risk"</w:t>
      </w:r>
      <w:r>
        <w:t xml:space="preserve"> quartiles will be shaded</w:t>
      </w:r>
      <w:r w:rsidR="006923B3">
        <w:t xml:space="preserve"> in</w:t>
      </w:r>
      <w:r>
        <w:t xml:space="preserve"> red</w:t>
      </w:r>
      <w:r w:rsidR="00933F1A">
        <w:t xml:space="preserve"> </w:t>
      </w:r>
      <w:r>
        <w:t>with darker shades of green and red representing the highest and lowest quartiles.  Note that the “</w:t>
      </w:r>
      <w:r w:rsidR="007C60FB">
        <w:t>low risk</w:t>
      </w:r>
      <w:r>
        <w:t>” and “</w:t>
      </w:r>
      <w:r w:rsidR="007C60FB">
        <w:t>high risk</w:t>
      </w:r>
      <w:r>
        <w:t xml:space="preserve">” quartiles will vary based on the measure. Sometimes the </w:t>
      </w:r>
      <w:r w:rsidR="007C60FB">
        <w:t xml:space="preserve">low </w:t>
      </w:r>
      <w:r>
        <w:t xml:space="preserve">rates are </w:t>
      </w:r>
      <w:r w:rsidR="007C60FB">
        <w:t xml:space="preserve">good </w:t>
      </w:r>
      <w:r>
        <w:t>(e.g., alcohol-related traffic crash injuries)</w:t>
      </w:r>
      <w:r w:rsidR="004374CA">
        <w:t xml:space="preserve"> while other indicators are better when they are higher (e.g., CCYS Protective Factors). The detailed numbers underlying each map are available online and will not be typically included in this report. Tables, Bar Charts and Line Graphs will also be used to present data. Tables will typically be included with the line and bar graphs. Line graphs will be used to display comparison data over time, while bar graphs will be used to show comparisons of data from single points in time. Tables, charts, and graphs will usually be rounded to the nearest decimal point and specific data points referenced within the text will generally be presented as whole numbers for ease of reading.</w:t>
      </w:r>
    </w:p>
    <w:p w:rsidR="002C6C72" w:rsidRDefault="003016FB" w:rsidP="006D1A5D">
      <w:pPr>
        <w:pStyle w:val="Heading1"/>
      </w:pPr>
      <w:bookmarkStart w:id="12" w:name="_Toc362873944"/>
      <w:r>
        <w:t>Louisiana Population Overview</w:t>
      </w:r>
      <w:bookmarkEnd w:id="12"/>
    </w:p>
    <w:p w:rsidR="003016FB" w:rsidRPr="006D1A5D" w:rsidRDefault="003016FB" w:rsidP="006D1A5D">
      <w:r w:rsidRPr="006D1A5D">
        <w:t xml:space="preserve">There are 4,533,372 people living in the state of Louisiana according to the 2010 </w:t>
      </w:r>
      <w:r w:rsidR="00AD665F" w:rsidRPr="006D1A5D">
        <w:t>US Census Bureau</w:t>
      </w:r>
      <w:r w:rsidRPr="006D1A5D">
        <w:t xml:space="preserve">.  </w:t>
      </w:r>
      <w:r w:rsidR="00EA6482" w:rsidRPr="006D1A5D">
        <w:t xml:space="preserve">That is a 1.4% increase over the 2000 </w:t>
      </w:r>
      <w:r w:rsidR="00AD665F" w:rsidRPr="006D1A5D">
        <w:t>US Census Bureau</w:t>
      </w:r>
      <w:r w:rsidR="00EA6482" w:rsidRPr="006D1A5D">
        <w:t xml:space="preserve"> population (4,468,976), which while a lower rate of growth than the US as a whole (9.7% increase) is significant in light of the catastrophic diaspora that occurred in 2005 with the impact of Hurricanes Katrina and Rita. The Census population estimates for Louisiana in the year following the storms indicated a total population of 4,287,768, a 4.1% decrease from 2000. The growth between 2006 and 2010 was over 5.7%. No other state in the union has undergone such dynamic changes in population over the same time period. </w:t>
      </w:r>
    </w:p>
    <w:p w:rsidR="000A73C3" w:rsidRPr="006D1A5D" w:rsidRDefault="000A73C3" w:rsidP="006D1A5D">
      <w:r w:rsidRPr="006D1A5D">
        <w:t xml:space="preserve">Even with the unprecedented population shifts caused by the storms, the basic demographics of the state remained relatively stable (see </w:t>
      </w:r>
      <w:r w:rsidR="00DD1BE8" w:rsidRPr="006D1A5D">
        <w:fldChar w:fldCharType="begin"/>
      </w:r>
      <w:r w:rsidRPr="006D1A5D">
        <w:instrText xml:space="preserve"> REF _Ref355944021 \h </w:instrText>
      </w:r>
      <w:r w:rsidR="00DD1BE8" w:rsidRPr="006D1A5D">
        <w:fldChar w:fldCharType="separate"/>
      </w:r>
      <w:r w:rsidR="0002537D">
        <w:t xml:space="preserve">Figure </w:t>
      </w:r>
      <w:r w:rsidR="0002537D">
        <w:rPr>
          <w:noProof/>
        </w:rPr>
        <w:t>1</w:t>
      </w:r>
      <w:r w:rsidR="00DD1BE8" w:rsidRPr="006D1A5D">
        <w:fldChar w:fldCharType="end"/>
      </w:r>
      <w:r w:rsidRPr="006D1A5D">
        <w:t xml:space="preserve">).  Louisiana is unique in comparison to the nation in that there is a substantially greater percentage of Black/African American residents (32% LA vs. 13% US) and a substantially smaller percentage of Hispanics (4% LA vs. 16% US). Even though the Hispanic population is much smaller in Louisiana it is the faster growing group nearly doubling between the 2000 and the 2010 census (from 2.4% in 2000 to 4.2% in 2010). </w:t>
      </w:r>
    </w:p>
    <w:p w:rsidR="00EA6482" w:rsidRDefault="003016FB" w:rsidP="006D1A5D">
      <w:r>
        <w:rPr>
          <w:noProof/>
        </w:rPr>
        <w:lastRenderedPageBreak/>
        <w:drawing>
          <wp:inline distT="0" distB="0" distL="0" distR="0">
            <wp:extent cx="5943600" cy="3064510"/>
            <wp:effectExtent l="0" t="0" r="0" b="254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016FB" w:rsidRDefault="00EA6482" w:rsidP="006D1A5D">
      <w:pPr>
        <w:pStyle w:val="Caption"/>
      </w:pPr>
      <w:bookmarkStart w:id="13" w:name="_Ref355944021"/>
      <w:bookmarkStart w:id="14" w:name="_Toc362873964"/>
      <w:proofErr w:type="gramStart"/>
      <w:r>
        <w:t xml:space="preserve">Figure </w:t>
      </w:r>
      <w:r w:rsidR="00DD1BE8">
        <w:fldChar w:fldCharType="begin"/>
      </w:r>
      <w:r w:rsidR="00A034FF">
        <w:instrText xml:space="preserve"> SEQ Figure \* ARABIC </w:instrText>
      </w:r>
      <w:r w:rsidR="00DD1BE8">
        <w:fldChar w:fldCharType="separate"/>
      </w:r>
      <w:r w:rsidR="0002537D">
        <w:rPr>
          <w:noProof/>
        </w:rPr>
        <w:t>1</w:t>
      </w:r>
      <w:r w:rsidR="00DD1BE8">
        <w:rPr>
          <w:noProof/>
        </w:rPr>
        <w:fldChar w:fldCharType="end"/>
      </w:r>
      <w:bookmarkEnd w:id="13"/>
      <w:r>
        <w:t>.</w:t>
      </w:r>
      <w:proofErr w:type="gramEnd"/>
      <w:r>
        <w:t xml:space="preserve"> Louisiana population characteristics compared to US (Source: 2010 </w:t>
      </w:r>
      <w:r w:rsidR="00AD665F">
        <w:t>US Census Bureau</w:t>
      </w:r>
      <w:r>
        <w:t>)</w:t>
      </w:r>
      <w:bookmarkEnd w:id="14"/>
    </w:p>
    <w:p w:rsidR="000A73C3" w:rsidRPr="006D1A5D" w:rsidRDefault="000A73C3" w:rsidP="006D1A5D">
      <w:r w:rsidRPr="006D1A5D">
        <w:t xml:space="preserve">Louisiana remains one of the poorest states with the second highest overall rate of poverty and of children in poverty. The latest available poverty </w:t>
      </w:r>
      <w:r w:rsidR="00B23E87" w:rsidRPr="006D1A5D">
        <w:t xml:space="preserve">estimates indicate </w:t>
      </w:r>
      <w:r w:rsidR="00515BF9">
        <w:t>that</w:t>
      </w:r>
      <w:r w:rsidR="00515BF9" w:rsidRPr="006D1A5D">
        <w:t xml:space="preserve"> </w:t>
      </w:r>
      <w:r w:rsidR="00B23E87" w:rsidRPr="006D1A5D">
        <w:t>over 20% of all residents in the state are living at or below the poverty level</w:t>
      </w:r>
      <w:r w:rsidR="00B23E87" w:rsidRPr="006D1A5D">
        <w:rPr>
          <w:rStyle w:val="FootnoteReference"/>
        </w:rPr>
        <w:footnoteReference w:id="6"/>
      </w:r>
      <w:r w:rsidR="00B23E87" w:rsidRPr="006D1A5D">
        <w:t xml:space="preserve">. </w:t>
      </w:r>
      <w:r w:rsidR="00CA2C95" w:rsidRPr="006D1A5D">
        <w:t>Nearly 29% of children in the state are living in households that subsist at or below the poverty line.</w:t>
      </w:r>
    </w:p>
    <w:p w:rsidR="00B23E87" w:rsidRDefault="000A73C3" w:rsidP="006D1A5D">
      <w:r>
        <w:rPr>
          <w:noProof/>
        </w:rPr>
        <w:drawing>
          <wp:inline distT="0" distB="0" distL="0" distR="0">
            <wp:extent cx="5676900" cy="20955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A73C3" w:rsidRPr="0004582B" w:rsidRDefault="00B23E87" w:rsidP="006D1A5D">
      <w:pPr>
        <w:pStyle w:val="Caption"/>
      </w:pPr>
      <w:bookmarkStart w:id="15" w:name="_Toc362873965"/>
      <w:proofErr w:type="gramStart"/>
      <w:r w:rsidRPr="0004582B">
        <w:t xml:space="preserve">Figure </w:t>
      </w:r>
      <w:r w:rsidR="00DD1BE8">
        <w:fldChar w:fldCharType="begin"/>
      </w:r>
      <w:r w:rsidR="00A034FF">
        <w:instrText xml:space="preserve"> SEQ Figure \* ARABIC </w:instrText>
      </w:r>
      <w:r w:rsidR="00DD1BE8">
        <w:fldChar w:fldCharType="separate"/>
      </w:r>
      <w:r w:rsidR="0002537D">
        <w:rPr>
          <w:noProof/>
        </w:rPr>
        <w:t>2</w:t>
      </w:r>
      <w:r w:rsidR="00DD1BE8">
        <w:rPr>
          <w:noProof/>
        </w:rPr>
        <w:fldChar w:fldCharType="end"/>
      </w:r>
      <w:r w:rsidRPr="0004582B">
        <w:t>.</w:t>
      </w:r>
      <w:proofErr w:type="gramEnd"/>
      <w:r w:rsidRPr="0004582B">
        <w:t xml:space="preserve"> Percentage of children living at or below the poverty line (Source: </w:t>
      </w:r>
      <w:r w:rsidR="00AD665F">
        <w:t>US Census Bureau Bureau</w:t>
      </w:r>
      <w:r w:rsidRPr="0004582B">
        <w:t>)</w:t>
      </w:r>
      <w:bookmarkEnd w:id="15"/>
    </w:p>
    <w:p w:rsidR="00CA2C95" w:rsidRPr="006D1A5D" w:rsidRDefault="00955905" w:rsidP="006D1A5D">
      <w:r w:rsidRPr="006D1A5D">
        <w:t xml:space="preserve">The statewide poverty rate has decreased substantially over the last 50 years from nearly 40% in 1960 to the current 20%, but </w:t>
      </w:r>
      <w:r w:rsidR="008139BA" w:rsidRPr="006D1A5D">
        <w:t>Louisiana</w:t>
      </w:r>
      <w:r w:rsidRPr="006D1A5D">
        <w:t xml:space="preserve"> remains one of the states with the highest poverty rates when compared to the rest of the nation</w:t>
      </w:r>
      <w:r w:rsidR="00DF5999" w:rsidRPr="006D1A5D">
        <w:t xml:space="preserve">. </w:t>
      </w:r>
    </w:p>
    <w:p w:rsidR="0004582B" w:rsidRDefault="0004582B" w:rsidP="006D1A5D">
      <w:r w:rsidRPr="0004582B">
        <w:rPr>
          <w:noProof/>
        </w:rPr>
        <w:lastRenderedPageBreak/>
        <w:drawing>
          <wp:inline distT="0" distB="0" distL="0" distR="0">
            <wp:extent cx="5943600" cy="2162175"/>
            <wp:effectExtent l="0" t="0" r="19050"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4582B" w:rsidRDefault="0004582B" w:rsidP="006D1A5D">
      <w:pPr>
        <w:pStyle w:val="Caption"/>
        <w:rPr>
          <w:noProof/>
        </w:rPr>
      </w:pPr>
      <w:bookmarkStart w:id="16" w:name="_Toc362873966"/>
      <w:proofErr w:type="gramStart"/>
      <w:r>
        <w:t xml:space="preserve">Figure </w:t>
      </w:r>
      <w:r w:rsidR="00DD1BE8">
        <w:fldChar w:fldCharType="begin"/>
      </w:r>
      <w:r w:rsidR="00A034FF">
        <w:instrText xml:space="preserve"> SEQ Figure \* ARABIC </w:instrText>
      </w:r>
      <w:r w:rsidR="00DD1BE8">
        <w:fldChar w:fldCharType="separate"/>
      </w:r>
      <w:r w:rsidR="0002537D">
        <w:rPr>
          <w:noProof/>
        </w:rPr>
        <w:t>3</w:t>
      </w:r>
      <w:r w:rsidR="00DD1BE8">
        <w:rPr>
          <w:noProof/>
        </w:rPr>
        <w:fldChar w:fldCharType="end"/>
      </w:r>
      <w:r>
        <w:t>.</w:t>
      </w:r>
      <w:proofErr w:type="gramEnd"/>
      <w:r>
        <w:t xml:space="preserve"> Louisiana Poverty </w:t>
      </w:r>
      <w:r>
        <w:rPr>
          <w:noProof/>
        </w:rPr>
        <w:t>rates from 1960 to 2010</w:t>
      </w:r>
      <w:r w:rsidR="00AD665F">
        <w:rPr>
          <w:noProof/>
        </w:rPr>
        <w:t xml:space="preserve"> (Source: US Census Bureau Bureau)</w:t>
      </w:r>
      <w:bookmarkEnd w:id="16"/>
    </w:p>
    <w:p w:rsidR="00AD665F" w:rsidRPr="006D1A5D" w:rsidRDefault="00AD665F" w:rsidP="006D1A5D">
      <w:r w:rsidRPr="006D1A5D">
        <w:t>While the overall statewide childhood poverty rate is near 29%, almost half of the parishes have rates that exceed that. One fourth of the 64 parishes in the state have childhood poverty rates over 34%</w:t>
      </w:r>
      <w:r w:rsidR="004E41FA">
        <w:t>.</w:t>
      </w:r>
    </w:p>
    <w:p w:rsidR="00F104CD" w:rsidRDefault="007D3BFD" w:rsidP="000A01C8">
      <w:pPr>
        <w:jc w:val="center"/>
      </w:pPr>
      <w:r>
        <w:rPr>
          <w:noProof/>
        </w:rPr>
        <w:drawing>
          <wp:inline distT="0" distB="0" distL="0" distR="0">
            <wp:extent cx="5913120" cy="4572000"/>
            <wp:effectExtent l="0" t="0" r="0" b="0"/>
            <wp:docPr id="35" name="Picture 35" descr="P:\Research\SEOW\GIS Maps\Children Pover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earch\SEOW\GIS Maps\Children Poverty.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5913120" cy="4572000"/>
                    </a:xfrm>
                    <a:prstGeom prst="rect">
                      <a:avLst/>
                    </a:prstGeom>
                    <a:noFill/>
                    <a:ln>
                      <a:noFill/>
                    </a:ln>
                  </pic:spPr>
                </pic:pic>
              </a:graphicData>
            </a:graphic>
          </wp:inline>
        </w:drawing>
      </w:r>
    </w:p>
    <w:p w:rsidR="00CA2C95" w:rsidRPr="00CA2C95" w:rsidRDefault="00F104CD" w:rsidP="006D1A5D">
      <w:pPr>
        <w:pStyle w:val="Caption"/>
      </w:pPr>
      <w:bookmarkStart w:id="17" w:name="_Toc362873967"/>
      <w:proofErr w:type="gramStart"/>
      <w:r>
        <w:t xml:space="preserve">Figure </w:t>
      </w:r>
      <w:r w:rsidR="00DD1BE8">
        <w:fldChar w:fldCharType="begin"/>
      </w:r>
      <w:r w:rsidR="00A034FF">
        <w:instrText xml:space="preserve"> SEQ Figure \* ARABIC </w:instrText>
      </w:r>
      <w:r w:rsidR="00DD1BE8">
        <w:fldChar w:fldCharType="separate"/>
      </w:r>
      <w:r w:rsidR="0002537D">
        <w:rPr>
          <w:noProof/>
        </w:rPr>
        <w:t>4</w:t>
      </w:r>
      <w:r w:rsidR="00DD1BE8">
        <w:rPr>
          <w:noProof/>
        </w:rPr>
        <w:fldChar w:fldCharType="end"/>
      </w:r>
      <w:r>
        <w:t>.</w:t>
      </w:r>
      <w:proofErr w:type="gramEnd"/>
      <w:r>
        <w:t xml:space="preserve"> Childhood poverty rates by parish (Source: </w:t>
      </w:r>
      <w:r w:rsidR="00AD665F">
        <w:t>US Census Bureau</w:t>
      </w:r>
      <w:r>
        <w:t xml:space="preserve"> Bureau)</w:t>
      </w:r>
      <w:bookmarkEnd w:id="17"/>
    </w:p>
    <w:p w:rsidR="00205C46" w:rsidRDefault="00205C46">
      <w:pPr>
        <w:rPr>
          <w:b/>
          <w:color w:val="00457C"/>
          <w:sz w:val="28"/>
          <w:szCs w:val="28"/>
        </w:rPr>
      </w:pPr>
      <w:bookmarkStart w:id="18" w:name="_Toc362873945"/>
      <w:r>
        <w:br w:type="page"/>
      </w:r>
    </w:p>
    <w:p w:rsidR="002C6C72" w:rsidRDefault="002C6C72" w:rsidP="006D1A5D">
      <w:pPr>
        <w:pStyle w:val="Heading1"/>
      </w:pPr>
      <w:r>
        <w:lastRenderedPageBreak/>
        <w:t>Substance Abuse Indicators</w:t>
      </w:r>
      <w:bookmarkEnd w:id="18"/>
    </w:p>
    <w:p w:rsidR="0002722B" w:rsidRPr="006D1A5D" w:rsidRDefault="0002722B" w:rsidP="006D1A5D">
      <w:r w:rsidRPr="006D1A5D">
        <w:t>This section will present the prioritized indicators of substance abuse in Louisiana. There will be a separate subsection each for alcohol, tobacco and marijuana. The focus of the indicators is on youth, but there will be information on adult rates as available</w:t>
      </w:r>
      <w:r w:rsidR="00515BF9">
        <w:t>, as well as, behavioral health indicators related specifically to suicide and depression for youth and adult</w:t>
      </w:r>
      <w:r w:rsidRPr="006D1A5D">
        <w:t xml:space="preserve">. The main limitation on information related to adults is that </w:t>
      </w:r>
      <w:r w:rsidR="00515BF9">
        <w:t xml:space="preserve">data </w:t>
      </w:r>
      <w:r w:rsidRPr="006D1A5D">
        <w:t xml:space="preserve">is typically only available at the state level. Using statewide rates for local planning purposes is problematic as communities tend to vary widely across the state. While some parishes have rates that are nearly the same as the statewide rates, others are substantially and meaningfully higher or lower. Regardless, for a complete profile of the state, the statewide numbers for the adult population provides local communities with a useful context within which they can better understand the longer term impacts of the local prevention activities. </w:t>
      </w:r>
    </w:p>
    <w:p w:rsidR="00CC24A6" w:rsidRDefault="00CC24A6" w:rsidP="006D1A5D">
      <w:r w:rsidRPr="006D1A5D">
        <w:t xml:space="preserve">It should be noted that the data for young adults from the CORE </w:t>
      </w:r>
      <w:r w:rsidR="002D2FEC">
        <w:t>Alcohol and Drug S</w:t>
      </w:r>
      <w:r w:rsidRPr="006D1A5D">
        <w:t xml:space="preserve">urvey will </w:t>
      </w:r>
      <w:r w:rsidR="008C5372">
        <w:t xml:space="preserve">be </w:t>
      </w:r>
      <w:r w:rsidRPr="006D1A5D">
        <w:t xml:space="preserve">presented in the same sections along with the youth indicators from the CCYS. These two data sources are somewhat </w:t>
      </w:r>
      <w:r w:rsidR="008C483C" w:rsidRPr="006D1A5D">
        <w:t>parallel</w:t>
      </w:r>
      <w:r w:rsidRPr="006D1A5D">
        <w:t xml:space="preserve"> in the manner in which use and consequence are measured and provide a natural transition to adulthood. Also, the data indicates increasing rates of usage of all substances that peak in early adulthood and then begin to decrease when measured within older adults. Prevention activities also tend to target both youth and </w:t>
      </w:r>
      <w:r w:rsidR="006E2524" w:rsidRPr="006D1A5D">
        <w:t>young</w:t>
      </w:r>
      <w:r w:rsidRPr="006D1A5D">
        <w:t xml:space="preserve"> adults and some research indicates that prevention programs for children have long-term effects that extent beyond the high school years. </w:t>
      </w:r>
    </w:p>
    <w:p w:rsidR="007E2632" w:rsidRDefault="007E2632" w:rsidP="007E2632">
      <w:pPr>
        <w:pStyle w:val="Heading2"/>
      </w:pPr>
      <w:bookmarkStart w:id="19" w:name="_Toc362873946"/>
      <w:r>
        <w:t>Alcohol Indicators</w:t>
      </w:r>
      <w:bookmarkEnd w:id="19"/>
      <w:r>
        <w:t xml:space="preserve"> </w:t>
      </w:r>
    </w:p>
    <w:p w:rsidR="008C483C" w:rsidRDefault="008C483C" w:rsidP="008C483C">
      <w:r>
        <w:t xml:space="preserve">The SEW prioritization process led to the selection of indicators that were focused on youth. </w:t>
      </w:r>
      <w:r w:rsidR="00363320">
        <w:t>As mentioned above, m</w:t>
      </w:r>
      <w:r w:rsidR="00512734">
        <w:t xml:space="preserve">any of the measures are also available for adults, but only on a state-level or, in some cases, on a regional level. </w:t>
      </w:r>
      <w:r w:rsidR="00D21B15">
        <w:t xml:space="preserve">Indicators for youth and adults are presented in this section and there are several observations that can be made about rates and trends of consumption and consequences. </w:t>
      </w:r>
    </w:p>
    <w:p w:rsidR="00F8038B" w:rsidRPr="008C483C" w:rsidRDefault="00F8038B" w:rsidP="008C483C">
      <w:r>
        <w:t xml:space="preserve">Consumption indicators for youth indicate a downward trend in both general alcohol consumption and in binge drinking, but for adults the rates </w:t>
      </w:r>
      <w:r w:rsidR="00AA393F">
        <w:t xml:space="preserve">are increasing. A comparison to overall consumption rates nationwide reverses the relationship. While the consumption rates for youth are trending down, the rates in Louisiana are still higher than the national rate. The adult rates in the state are trending up, but the overall adult consumption rates are lower than the national average. The most positive indicator is in relation to the immediate consequences as measured by alcohol-related vehicle crash injuries and fatalities. Over the last 10 years, the rate for injuries has decreased 34% and the rate of fatalities has decreased over 35%. </w:t>
      </w:r>
      <w:r>
        <w:t xml:space="preserve"> </w:t>
      </w:r>
    </w:p>
    <w:p w:rsidR="006570FF" w:rsidRDefault="0002722B" w:rsidP="007E2632">
      <w:pPr>
        <w:pStyle w:val="Heading3"/>
      </w:pPr>
      <w:bookmarkStart w:id="20" w:name="_Toc362873947"/>
      <w:r>
        <w:t xml:space="preserve">Youth </w:t>
      </w:r>
      <w:r w:rsidR="002C6C72">
        <w:t>Alcohol Indicators</w:t>
      </w:r>
      <w:bookmarkEnd w:id="20"/>
    </w:p>
    <w:p w:rsidR="00CE637E" w:rsidRPr="006D1A5D" w:rsidRDefault="00CE637E" w:rsidP="006D1A5D">
      <w:r w:rsidRPr="006D1A5D">
        <w:t xml:space="preserve">Rates of youth alcohol use in Louisiana continue to be higher than the national rates (see </w:t>
      </w:r>
      <w:r w:rsidR="00FB251E">
        <w:fldChar w:fldCharType="begin"/>
      </w:r>
      <w:r w:rsidR="00FB251E">
        <w:instrText xml:space="preserve"> REF _Ref356305642 \h  \* MERGEFORMAT </w:instrText>
      </w:r>
      <w:r w:rsidR="00FB251E">
        <w:fldChar w:fldCharType="separate"/>
      </w:r>
      <w:r w:rsidR="0002537D">
        <w:t>Table 1</w:t>
      </w:r>
      <w:r w:rsidR="00FB251E">
        <w:fldChar w:fldCharType="end"/>
      </w:r>
      <w:r w:rsidRPr="006D1A5D">
        <w:t xml:space="preserve">). </w:t>
      </w:r>
      <w:r w:rsidR="00CA2325" w:rsidRPr="006D1A5D">
        <w:t xml:space="preserve">While the rate of use appears to be trending toward slightly lower rates, the comparison to the nation indicates that students in Louisiana are at least 11% more likely to have used alcohol within the last 30 days. </w:t>
      </w:r>
    </w:p>
    <w:p w:rsidR="00CA2325" w:rsidRDefault="00CA2325" w:rsidP="006D1A5D">
      <w:pPr>
        <w:pStyle w:val="Caption"/>
      </w:pPr>
      <w:bookmarkStart w:id="21" w:name="_Ref356305642"/>
      <w:proofErr w:type="gramStart"/>
      <w:r>
        <w:t xml:space="preserve">Table </w:t>
      </w:r>
      <w:r w:rsidR="00DD1BE8">
        <w:fldChar w:fldCharType="begin"/>
      </w:r>
      <w:r w:rsidR="00A034FF">
        <w:instrText xml:space="preserve"> SEQ Table \* ARABIC </w:instrText>
      </w:r>
      <w:r w:rsidR="00DD1BE8">
        <w:fldChar w:fldCharType="separate"/>
      </w:r>
      <w:r w:rsidR="0002537D">
        <w:rPr>
          <w:noProof/>
        </w:rPr>
        <w:t>1</w:t>
      </w:r>
      <w:r w:rsidR="00DD1BE8">
        <w:rPr>
          <w:noProof/>
        </w:rPr>
        <w:fldChar w:fldCharType="end"/>
      </w:r>
      <w:bookmarkEnd w:id="21"/>
      <w:r>
        <w:t>.</w:t>
      </w:r>
      <w:proofErr w:type="gramEnd"/>
      <w:r>
        <w:t xml:space="preserve"> Youth 30-day alcohol use in Louisia</w:t>
      </w:r>
      <w:r w:rsidR="00315B0C">
        <w:t>na and the US (Source: CCYS 2012</w:t>
      </w:r>
      <w:r>
        <w:t xml:space="preserve"> </w:t>
      </w:r>
      <w:r w:rsidR="00315B0C">
        <w:t>and Monitoring the Future 2012</w:t>
      </w:r>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003"/>
        <w:gridCol w:w="2211"/>
        <w:gridCol w:w="2211"/>
        <w:gridCol w:w="2541"/>
      </w:tblGrid>
      <w:tr w:rsidR="00CA2325" w:rsidRPr="00CA2325" w:rsidTr="00CA2325">
        <w:trPr>
          <w:cantSplit/>
          <w:trHeight w:val="245"/>
        </w:trPr>
        <w:tc>
          <w:tcPr>
            <w:tcW w:w="1506" w:type="pct"/>
            <w:shd w:val="clear" w:color="auto" w:fill="00457C"/>
            <w:tcMar>
              <w:top w:w="15" w:type="dxa"/>
              <w:left w:w="15" w:type="dxa"/>
              <w:bottom w:w="0" w:type="dxa"/>
              <w:right w:w="15" w:type="dxa"/>
            </w:tcMar>
            <w:vAlign w:val="center"/>
          </w:tcPr>
          <w:p w:rsidR="00CA2325" w:rsidRPr="00CA2325" w:rsidRDefault="004F27D5" w:rsidP="004F27D5">
            <w:pPr>
              <w:pStyle w:val="TableText"/>
              <w:rPr>
                <w:rFonts w:eastAsia="Arial Unicode MS"/>
              </w:rPr>
            </w:pPr>
            <w:r>
              <w:t>Grade Level</w:t>
            </w:r>
          </w:p>
        </w:tc>
        <w:tc>
          <w:tcPr>
            <w:tcW w:w="1109" w:type="pct"/>
            <w:shd w:val="clear" w:color="auto" w:fill="00457C"/>
            <w:tcMar>
              <w:top w:w="15" w:type="dxa"/>
              <w:left w:w="15" w:type="dxa"/>
              <w:bottom w:w="0" w:type="dxa"/>
              <w:right w:w="15" w:type="dxa"/>
            </w:tcMar>
            <w:vAlign w:val="center"/>
          </w:tcPr>
          <w:p w:rsidR="00CA2325" w:rsidRPr="00CA2325" w:rsidRDefault="00CA2325" w:rsidP="004F27D5">
            <w:pPr>
              <w:pStyle w:val="TableText"/>
              <w:jc w:val="center"/>
            </w:pPr>
            <w:r w:rsidRPr="00CA2325">
              <w:t>Louisiana</w:t>
            </w:r>
          </w:p>
        </w:tc>
        <w:tc>
          <w:tcPr>
            <w:tcW w:w="1109" w:type="pct"/>
            <w:shd w:val="clear" w:color="auto" w:fill="00457C"/>
            <w:tcMar>
              <w:top w:w="15" w:type="dxa"/>
              <w:left w:w="15" w:type="dxa"/>
              <w:bottom w:w="0" w:type="dxa"/>
              <w:right w:w="15" w:type="dxa"/>
            </w:tcMar>
            <w:vAlign w:val="center"/>
          </w:tcPr>
          <w:p w:rsidR="00CA2325" w:rsidRPr="00CA2325" w:rsidRDefault="00CA2325" w:rsidP="004F27D5">
            <w:pPr>
              <w:pStyle w:val="TableText"/>
              <w:jc w:val="center"/>
            </w:pPr>
            <w:r w:rsidRPr="00CA2325">
              <w:t>USA</w:t>
            </w:r>
          </w:p>
        </w:tc>
        <w:tc>
          <w:tcPr>
            <w:tcW w:w="1275" w:type="pct"/>
            <w:shd w:val="clear" w:color="auto" w:fill="00457C"/>
            <w:tcMar>
              <w:top w:w="15" w:type="dxa"/>
              <w:left w:w="15" w:type="dxa"/>
              <w:bottom w:w="0" w:type="dxa"/>
              <w:right w:w="15" w:type="dxa"/>
            </w:tcMar>
            <w:vAlign w:val="center"/>
          </w:tcPr>
          <w:p w:rsidR="00CA2325" w:rsidRPr="00CA2325" w:rsidRDefault="00CA2325" w:rsidP="004F27D5">
            <w:pPr>
              <w:pStyle w:val="TableText"/>
              <w:jc w:val="center"/>
              <w:rPr>
                <w:rFonts w:eastAsia="Arial Unicode MS"/>
              </w:rPr>
            </w:pPr>
            <w:r w:rsidRPr="00CA2325">
              <w:t>LA:USA Ratio</w:t>
            </w:r>
          </w:p>
        </w:tc>
      </w:tr>
      <w:tr w:rsidR="00CA2325" w:rsidRPr="00CA2325" w:rsidTr="00CA2325">
        <w:trPr>
          <w:cantSplit/>
          <w:trHeight w:val="272"/>
        </w:trPr>
        <w:tc>
          <w:tcPr>
            <w:tcW w:w="1506" w:type="pct"/>
            <w:tcMar>
              <w:top w:w="15" w:type="dxa"/>
              <w:left w:w="15" w:type="dxa"/>
              <w:bottom w:w="0" w:type="dxa"/>
              <w:right w:w="15" w:type="dxa"/>
            </w:tcMar>
            <w:vAlign w:val="center"/>
          </w:tcPr>
          <w:p w:rsidR="00CA2325" w:rsidRPr="00CA2325" w:rsidRDefault="00CA2325" w:rsidP="004F27D5">
            <w:pPr>
              <w:pStyle w:val="TableText"/>
              <w:rPr>
                <w:rFonts w:eastAsia="Arial Unicode MS"/>
              </w:rPr>
            </w:pPr>
            <w:r w:rsidRPr="00CA2325">
              <w:t>Grade 8</w:t>
            </w:r>
          </w:p>
        </w:tc>
        <w:tc>
          <w:tcPr>
            <w:tcW w:w="1109" w:type="pct"/>
            <w:tcMar>
              <w:top w:w="15" w:type="dxa"/>
              <w:left w:w="15" w:type="dxa"/>
              <w:bottom w:w="0" w:type="dxa"/>
              <w:right w:w="15" w:type="dxa"/>
            </w:tcMar>
            <w:vAlign w:val="center"/>
          </w:tcPr>
          <w:p w:rsidR="00CA2325" w:rsidRPr="00CA2325" w:rsidRDefault="00315B0C" w:rsidP="004F27D5">
            <w:pPr>
              <w:pStyle w:val="TableText"/>
              <w:jc w:val="center"/>
              <w:rPr>
                <w:rFonts w:eastAsia="Arial Unicode MS"/>
              </w:rPr>
            </w:pPr>
            <w:r>
              <w:rPr>
                <w:rFonts w:eastAsia="Arial Unicode MS"/>
              </w:rPr>
              <w:t>18.5</w:t>
            </w:r>
          </w:p>
        </w:tc>
        <w:tc>
          <w:tcPr>
            <w:tcW w:w="1109" w:type="pct"/>
            <w:tcMar>
              <w:top w:w="15" w:type="dxa"/>
              <w:left w:w="15" w:type="dxa"/>
              <w:bottom w:w="0" w:type="dxa"/>
              <w:right w:w="15" w:type="dxa"/>
            </w:tcMar>
            <w:vAlign w:val="center"/>
          </w:tcPr>
          <w:p w:rsidR="00CA2325" w:rsidRPr="00CA2325" w:rsidRDefault="00315B0C" w:rsidP="004F27D5">
            <w:pPr>
              <w:pStyle w:val="TableText"/>
              <w:jc w:val="center"/>
              <w:rPr>
                <w:rFonts w:eastAsia="Arial Unicode MS"/>
              </w:rPr>
            </w:pPr>
            <w:r>
              <w:rPr>
                <w:rFonts w:eastAsia="Arial Unicode MS"/>
              </w:rPr>
              <w:t>11.0</w:t>
            </w:r>
          </w:p>
        </w:tc>
        <w:tc>
          <w:tcPr>
            <w:tcW w:w="1275" w:type="pct"/>
            <w:tcMar>
              <w:top w:w="15" w:type="dxa"/>
              <w:left w:w="15" w:type="dxa"/>
              <w:bottom w:w="0" w:type="dxa"/>
              <w:right w:w="15" w:type="dxa"/>
            </w:tcMar>
            <w:vAlign w:val="center"/>
          </w:tcPr>
          <w:p w:rsidR="00CA2325" w:rsidRPr="00CA2325" w:rsidRDefault="00E1576B" w:rsidP="004F27D5">
            <w:pPr>
              <w:pStyle w:val="TableText"/>
              <w:jc w:val="center"/>
              <w:rPr>
                <w:rFonts w:eastAsia="Arial Unicode MS"/>
              </w:rPr>
            </w:pPr>
            <w:r>
              <w:rPr>
                <w:rFonts w:eastAsia="Arial Unicode MS"/>
              </w:rPr>
              <w:t>1.68</w:t>
            </w:r>
          </w:p>
        </w:tc>
      </w:tr>
      <w:tr w:rsidR="00CA2325" w:rsidRPr="00CA2325" w:rsidTr="00CA2325">
        <w:trPr>
          <w:cantSplit/>
          <w:trHeight w:val="55"/>
        </w:trPr>
        <w:tc>
          <w:tcPr>
            <w:tcW w:w="1506" w:type="pct"/>
            <w:tcMar>
              <w:top w:w="15" w:type="dxa"/>
              <w:left w:w="15" w:type="dxa"/>
              <w:bottom w:w="0" w:type="dxa"/>
              <w:right w:w="15" w:type="dxa"/>
            </w:tcMar>
            <w:vAlign w:val="center"/>
          </w:tcPr>
          <w:p w:rsidR="00CA2325" w:rsidRPr="00CA2325" w:rsidRDefault="00CA2325" w:rsidP="004F27D5">
            <w:pPr>
              <w:pStyle w:val="TableText"/>
              <w:rPr>
                <w:rFonts w:eastAsia="Arial Unicode MS"/>
              </w:rPr>
            </w:pPr>
            <w:r w:rsidRPr="00CA2325">
              <w:t>Grade 10</w:t>
            </w:r>
          </w:p>
        </w:tc>
        <w:tc>
          <w:tcPr>
            <w:tcW w:w="1109" w:type="pct"/>
            <w:tcMar>
              <w:top w:w="15" w:type="dxa"/>
              <w:left w:w="15" w:type="dxa"/>
              <w:bottom w:w="0" w:type="dxa"/>
              <w:right w:w="15" w:type="dxa"/>
            </w:tcMar>
            <w:vAlign w:val="center"/>
          </w:tcPr>
          <w:p w:rsidR="00CA2325" w:rsidRPr="00CA2325" w:rsidRDefault="00315B0C" w:rsidP="004F27D5">
            <w:pPr>
              <w:pStyle w:val="TableText"/>
              <w:jc w:val="center"/>
              <w:rPr>
                <w:rFonts w:eastAsia="Arial Unicode MS"/>
              </w:rPr>
            </w:pPr>
            <w:r>
              <w:rPr>
                <w:rFonts w:eastAsia="Arial Unicode MS"/>
              </w:rPr>
              <w:t>35.0</w:t>
            </w:r>
          </w:p>
        </w:tc>
        <w:tc>
          <w:tcPr>
            <w:tcW w:w="1109" w:type="pct"/>
            <w:tcMar>
              <w:top w:w="15" w:type="dxa"/>
              <w:left w:w="15" w:type="dxa"/>
              <w:bottom w:w="0" w:type="dxa"/>
              <w:right w:w="15" w:type="dxa"/>
            </w:tcMar>
            <w:vAlign w:val="center"/>
          </w:tcPr>
          <w:p w:rsidR="00CA2325" w:rsidRPr="00CA2325" w:rsidRDefault="00315B0C" w:rsidP="004F27D5">
            <w:pPr>
              <w:pStyle w:val="TableText"/>
              <w:jc w:val="center"/>
              <w:rPr>
                <w:rFonts w:eastAsia="Arial Unicode MS"/>
              </w:rPr>
            </w:pPr>
            <w:r>
              <w:rPr>
                <w:rFonts w:eastAsia="Arial Unicode MS"/>
              </w:rPr>
              <w:t>27.6</w:t>
            </w:r>
          </w:p>
        </w:tc>
        <w:tc>
          <w:tcPr>
            <w:tcW w:w="1275" w:type="pct"/>
            <w:tcMar>
              <w:top w:w="15" w:type="dxa"/>
              <w:left w:w="15" w:type="dxa"/>
              <w:bottom w:w="0" w:type="dxa"/>
              <w:right w:w="15" w:type="dxa"/>
            </w:tcMar>
            <w:vAlign w:val="center"/>
          </w:tcPr>
          <w:p w:rsidR="00CA2325" w:rsidRPr="00CA2325" w:rsidRDefault="00E1576B" w:rsidP="004F27D5">
            <w:pPr>
              <w:pStyle w:val="TableText"/>
              <w:jc w:val="center"/>
              <w:rPr>
                <w:rFonts w:eastAsia="Arial Unicode MS"/>
              </w:rPr>
            </w:pPr>
            <w:r>
              <w:rPr>
                <w:rFonts w:eastAsia="Arial Unicode MS"/>
              </w:rPr>
              <w:t>1.27</w:t>
            </w:r>
          </w:p>
        </w:tc>
      </w:tr>
      <w:tr w:rsidR="00CA2325" w:rsidRPr="00CA2325" w:rsidTr="00CA2325">
        <w:trPr>
          <w:cantSplit/>
          <w:trHeight w:val="55"/>
        </w:trPr>
        <w:tc>
          <w:tcPr>
            <w:tcW w:w="1506" w:type="pct"/>
            <w:tcMar>
              <w:top w:w="15" w:type="dxa"/>
              <w:left w:w="15" w:type="dxa"/>
              <w:bottom w:w="0" w:type="dxa"/>
              <w:right w:w="15" w:type="dxa"/>
            </w:tcMar>
            <w:vAlign w:val="center"/>
          </w:tcPr>
          <w:p w:rsidR="00CA2325" w:rsidRPr="00CA2325" w:rsidRDefault="00CA2325" w:rsidP="004F27D5">
            <w:pPr>
              <w:pStyle w:val="TableText"/>
              <w:rPr>
                <w:rFonts w:eastAsia="Arial Unicode MS"/>
              </w:rPr>
            </w:pPr>
            <w:r w:rsidRPr="00CA2325">
              <w:t>Grade 12</w:t>
            </w:r>
          </w:p>
        </w:tc>
        <w:tc>
          <w:tcPr>
            <w:tcW w:w="1109" w:type="pct"/>
            <w:tcMar>
              <w:top w:w="15" w:type="dxa"/>
              <w:left w:w="15" w:type="dxa"/>
              <w:bottom w:w="0" w:type="dxa"/>
              <w:right w:w="15" w:type="dxa"/>
            </w:tcMar>
            <w:vAlign w:val="center"/>
          </w:tcPr>
          <w:p w:rsidR="00CA2325" w:rsidRPr="00CA2325" w:rsidRDefault="00315B0C" w:rsidP="004F27D5">
            <w:pPr>
              <w:pStyle w:val="TableText"/>
              <w:jc w:val="center"/>
              <w:rPr>
                <w:rFonts w:eastAsia="Arial Unicode MS"/>
              </w:rPr>
            </w:pPr>
            <w:r>
              <w:rPr>
                <w:rFonts w:eastAsia="Arial Unicode MS"/>
              </w:rPr>
              <w:t>45.8</w:t>
            </w:r>
          </w:p>
        </w:tc>
        <w:tc>
          <w:tcPr>
            <w:tcW w:w="1109" w:type="pct"/>
            <w:tcMar>
              <w:top w:w="15" w:type="dxa"/>
              <w:left w:w="15" w:type="dxa"/>
              <w:bottom w:w="0" w:type="dxa"/>
              <w:right w:w="15" w:type="dxa"/>
            </w:tcMar>
            <w:vAlign w:val="center"/>
          </w:tcPr>
          <w:p w:rsidR="00CA2325" w:rsidRPr="00CA2325" w:rsidRDefault="00315B0C" w:rsidP="004F27D5">
            <w:pPr>
              <w:pStyle w:val="TableText"/>
              <w:jc w:val="center"/>
              <w:rPr>
                <w:rFonts w:eastAsia="Arial Unicode MS"/>
              </w:rPr>
            </w:pPr>
            <w:r>
              <w:rPr>
                <w:rFonts w:eastAsia="Arial Unicode MS"/>
              </w:rPr>
              <w:t>41.5</w:t>
            </w:r>
          </w:p>
        </w:tc>
        <w:tc>
          <w:tcPr>
            <w:tcW w:w="1275" w:type="pct"/>
            <w:tcMar>
              <w:top w:w="15" w:type="dxa"/>
              <w:left w:w="15" w:type="dxa"/>
              <w:bottom w:w="0" w:type="dxa"/>
              <w:right w:w="15" w:type="dxa"/>
            </w:tcMar>
            <w:vAlign w:val="center"/>
          </w:tcPr>
          <w:p w:rsidR="00CA2325" w:rsidRPr="00CA2325" w:rsidRDefault="00E1576B" w:rsidP="004F27D5">
            <w:pPr>
              <w:pStyle w:val="TableText"/>
              <w:jc w:val="center"/>
              <w:rPr>
                <w:rFonts w:eastAsia="Arial Unicode MS"/>
              </w:rPr>
            </w:pPr>
            <w:r>
              <w:rPr>
                <w:rFonts w:eastAsia="Arial Unicode MS"/>
              </w:rPr>
              <w:t>1.10</w:t>
            </w:r>
          </w:p>
        </w:tc>
      </w:tr>
    </w:tbl>
    <w:p w:rsidR="00CA2325" w:rsidRDefault="00CA2325" w:rsidP="006D1A5D"/>
    <w:p w:rsidR="000A29D6" w:rsidRDefault="00FB251E" w:rsidP="006D1A5D">
      <w:r>
        <w:lastRenderedPageBreak/>
        <w:fldChar w:fldCharType="begin"/>
      </w:r>
      <w:r>
        <w:instrText xml:space="preserve"> REF _Ref356306148 \h  \* MERGEFORMAT </w:instrText>
      </w:r>
      <w:r>
        <w:fldChar w:fldCharType="separate"/>
      </w:r>
      <w:r w:rsidR="0002537D">
        <w:t>Figure 5</w:t>
      </w:r>
      <w:r>
        <w:fldChar w:fldCharType="end"/>
      </w:r>
      <w:r w:rsidR="000A29D6" w:rsidRPr="006D1A5D">
        <w:t xml:space="preserve"> indicates that there may be a slight downward trend in the rate of </w:t>
      </w:r>
      <w:r w:rsidR="000A01C8">
        <w:t xml:space="preserve">youth </w:t>
      </w:r>
      <w:r w:rsidR="000A29D6" w:rsidRPr="006D1A5D">
        <w:t>alcohol use over the past decade, but the fact that the rates in Louisiana are substantially higher than the nation points toward youth alcohol use still being an issue that should be addressed as a priority area for prevention activities.</w:t>
      </w:r>
    </w:p>
    <w:p w:rsidR="001700FB" w:rsidRDefault="001700FB" w:rsidP="006D1A5D">
      <w:r>
        <w:rPr>
          <w:noProof/>
        </w:rPr>
        <w:drawing>
          <wp:inline distT="0" distB="0" distL="0" distR="0">
            <wp:extent cx="5943600" cy="3027680"/>
            <wp:effectExtent l="0" t="0" r="0" b="127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37B04" w:rsidRDefault="00E13D89" w:rsidP="006D1A5D">
      <w:pPr>
        <w:pStyle w:val="Caption"/>
      </w:pPr>
      <w:bookmarkStart w:id="22" w:name="_Ref356306148"/>
      <w:bookmarkStart w:id="23" w:name="_Toc362873968"/>
      <w:proofErr w:type="gramStart"/>
      <w:r>
        <w:t xml:space="preserve">Figure </w:t>
      </w:r>
      <w:r w:rsidR="00DD1BE8">
        <w:fldChar w:fldCharType="begin"/>
      </w:r>
      <w:r w:rsidR="00A034FF">
        <w:instrText xml:space="preserve"> SEQ Figure \* ARABIC </w:instrText>
      </w:r>
      <w:r w:rsidR="00DD1BE8">
        <w:fldChar w:fldCharType="separate"/>
      </w:r>
      <w:r w:rsidR="0002537D">
        <w:rPr>
          <w:noProof/>
        </w:rPr>
        <w:t>5</w:t>
      </w:r>
      <w:r w:rsidR="00DD1BE8">
        <w:rPr>
          <w:noProof/>
        </w:rPr>
        <w:fldChar w:fldCharType="end"/>
      </w:r>
      <w:bookmarkEnd w:id="22"/>
      <w:r>
        <w:t>.</w:t>
      </w:r>
      <w:proofErr w:type="gramEnd"/>
      <w:r>
        <w:t xml:space="preserve"> Trends in alcohol use amongst Louisiana youth in grades 6, 8, 10, and 12 (Source: CCYS</w:t>
      </w:r>
      <w:r w:rsidR="004B23C5">
        <w:t xml:space="preserve"> 20</w:t>
      </w:r>
      <w:r w:rsidR="00205C46">
        <w:t>12</w:t>
      </w:r>
      <w:r>
        <w:t>)</w:t>
      </w:r>
      <w:bookmarkEnd w:id="23"/>
    </w:p>
    <w:p w:rsidR="00137B04" w:rsidRPr="006D1A5D" w:rsidRDefault="00C930A2" w:rsidP="006D1A5D">
      <w:r w:rsidRPr="006D1A5D">
        <w:t xml:space="preserve">Inspection of the maps in </w:t>
      </w:r>
      <w:r w:rsidR="00FB251E">
        <w:fldChar w:fldCharType="begin"/>
      </w:r>
      <w:r w:rsidR="00FB251E">
        <w:instrText xml:space="preserve"> REF _Ref356306465 \h  \* MERGEFORMAT </w:instrText>
      </w:r>
      <w:r w:rsidR="00FB251E">
        <w:fldChar w:fldCharType="separate"/>
      </w:r>
      <w:r w:rsidR="0002537D">
        <w:t>Figure 6</w:t>
      </w:r>
      <w:r w:rsidR="00FB251E">
        <w:fldChar w:fldCharType="end"/>
      </w:r>
      <w:r w:rsidRPr="006D1A5D">
        <w:t xml:space="preserve"> indicates that southern Louisiana parishes tend to have higher rates of alcohol use that becomes more prominent as children reach 12</w:t>
      </w:r>
      <w:r w:rsidRPr="006D1A5D">
        <w:rPr>
          <w:vertAlign w:val="superscript"/>
        </w:rPr>
        <w:t>th</w:t>
      </w:r>
      <w:r w:rsidRPr="006D1A5D">
        <w:t xml:space="preserve"> grade.  The usage rates in northern parishes may well be lower than those in the south, but there are a number of parishes that still exceed the national average. </w:t>
      </w:r>
      <w:r w:rsidR="003F344F" w:rsidRPr="006D1A5D">
        <w:t>Reducing the rate of youth alcohol use remains a priority for Louisiana.</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5076"/>
        <w:gridCol w:w="5076"/>
      </w:tblGrid>
      <w:tr w:rsidR="00CC24A6" w:rsidTr="007A7B77">
        <w:tc>
          <w:tcPr>
            <w:tcW w:w="5076" w:type="dxa"/>
          </w:tcPr>
          <w:p w:rsidR="00CC24A6" w:rsidRDefault="00CC24A6" w:rsidP="006D1A5D">
            <w:r>
              <w:rPr>
                <w:noProof/>
              </w:rPr>
              <w:drawing>
                <wp:inline distT="0" distB="0" distL="0" distR="0">
                  <wp:extent cx="3076616" cy="2377385"/>
                  <wp:effectExtent l="19050" t="0" r="9484"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cohol 30Day Youth 8th.jpg"/>
                          <pic:cNvPicPr/>
                        </pic:nvPicPr>
                        <pic:blipFill>
                          <a:blip r:embed="rId23" cstate="print"/>
                          <a:stretch>
                            <a:fillRect/>
                          </a:stretch>
                        </pic:blipFill>
                        <pic:spPr>
                          <a:xfrm>
                            <a:off x="0" y="0"/>
                            <a:ext cx="3076616" cy="2377385"/>
                          </a:xfrm>
                          <a:prstGeom prst="rect">
                            <a:avLst/>
                          </a:prstGeom>
                        </pic:spPr>
                      </pic:pic>
                    </a:graphicData>
                  </a:graphic>
                </wp:inline>
              </w:drawing>
            </w:r>
          </w:p>
        </w:tc>
        <w:tc>
          <w:tcPr>
            <w:tcW w:w="5076" w:type="dxa"/>
          </w:tcPr>
          <w:p w:rsidR="00CC24A6" w:rsidRDefault="00CC24A6" w:rsidP="006D1A5D">
            <w:r>
              <w:rPr>
                <w:noProof/>
              </w:rPr>
              <w:drawing>
                <wp:inline distT="0" distB="0" distL="0" distR="0">
                  <wp:extent cx="3076614" cy="2377383"/>
                  <wp:effectExtent l="19050" t="0" r="9486"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cohol 30Day Youth 10th.jpg"/>
                          <pic:cNvPicPr/>
                        </pic:nvPicPr>
                        <pic:blipFill>
                          <a:blip r:embed="rId24" cstate="print"/>
                          <a:stretch>
                            <a:fillRect/>
                          </a:stretch>
                        </pic:blipFill>
                        <pic:spPr>
                          <a:xfrm>
                            <a:off x="0" y="0"/>
                            <a:ext cx="3076614" cy="2377383"/>
                          </a:xfrm>
                          <a:prstGeom prst="rect">
                            <a:avLst/>
                          </a:prstGeom>
                        </pic:spPr>
                      </pic:pic>
                    </a:graphicData>
                  </a:graphic>
                </wp:inline>
              </w:drawing>
            </w:r>
          </w:p>
        </w:tc>
      </w:tr>
      <w:tr w:rsidR="00CC24A6" w:rsidTr="007A7B77">
        <w:tc>
          <w:tcPr>
            <w:tcW w:w="10152" w:type="dxa"/>
            <w:gridSpan w:val="2"/>
          </w:tcPr>
          <w:p w:rsidR="00CC24A6" w:rsidRDefault="00CC24A6" w:rsidP="004F27D5">
            <w:pPr>
              <w:jc w:val="center"/>
            </w:pPr>
            <w:r>
              <w:rPr>
                <w:noProof/>
              </w:rPr>
              <w:lastRenderedPageBreak/>
              <w:drawing>
                <wp:inline distT="0" distB="0" distL="0" distR="0">
                  <wp:extent cx="4732938" cy="3657270"/>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cohol 30Day Youth 12th.jpg"/>
                          <pic:cNvPicPr/>
                        </pic:nvPicPr>
                        <pic:blipFill>
                          <a:blip r:embed="rId25" cstate="print"/>
                          <a:stretch>
                            <a:fillRect/>
                          </a:stretch>
                        </pic:blipFill>
                        <pic:spPr>
                          <a:xfrm>
                            <a:off x="0" y="0"/>
                            <a:ext cx="4732938" cy="3657270"/>
                          </a:xfrm>
                          <a:prstGeom prst="rect">
                            <a:avLst/>
                          </a:prstGeom>
                        </pic:spPr>
                      </pic:pic>
                    </a:graphicData>
                  </a:graphic>
                </wp:inline>
              </w:drawing>
            </w:r>
          </w:p>
        </w:tc>
      </w:tr>
    </w:tbl>
    <w:p w:rsidR="0049168C" w:rsidRDefault="000A29D6" w:rsidP="006D1A5D">
      <w:pPr>
        <w:pStyle w:val="Caption"/>
      </w:pPr>
      <w:bookmarkStart w:id="24" w:name="_Ref356306465"/>
      <w:bookmarkStart w:id="25" w:name="_Toc362873969"/>
      <w:proofErr w:type="gramStart"/>
      <w:r>
        <w:t xml:space="preserve">Figure </w:t>
      </w:r>
      <w:r w:rsidR="00DD1BE8">
        <w:fldChar w:fldCharType="begin"/>
      </w:r>
      <w:r w:rsidR="00A034FF">
        <w:instrText xml:space="preserve"> SEQ Figure \* ARABIC </w:instrText>
      </w:r>
      <w:r w:rsidR="00DD1BE8">
        <w:fldChar w:fldCharType="separate"/>
      </w:r>
      <w:r w:rsidR="0002537D">
        <w:rPr>
          <w:noProof/>
        </w:rPr>
        <w:t>6</w:t>
      </w:r>
      <w:r w:rsidR="00DD1BE8">
        <w:rPr>
          <w:noProof/>
        </w:rPr>
        <w:fldChar w:fldCharType="end"/>
      </w:r>
      <w:bookmarkEnd w:id="24"/>
      <w:r>
        <w:t>.</w:t>
      </w:r>
      <w:proofErr w:type="gramEnd"/>
      <w:r>
        <w:t xml:space="preserve"> Relative rates of alcohol use by parish for 8</w:t>
      </w:r>
      <w:r w:rsidRPr="00ED4D72">
        <w:rPr>
          <w:vertAlign w:val="superscript"/>
        </w:rPr>
        <w:t>th</w:t>
      </w:r>
      <w:r>
        <w:t>, 10</w:t>
      </w:r>
      <w:r w:rsidRPr="00ED4D72">
        <w:rPr>
          <w:vertAlign w:val="superscript"/>
        </w:rPr>
        <w:t>th</w:t>
      </w:r>
      <w:r>
        <w:t>, and 12</w:t>
      </w:r>
      <w:r w:rsidRPr="00ED4D72">
        <w:rPr>
          <w:vertAlign w:val="superscript"/>
        </w:rPr>
        <w:t>th</w:t>
      </w:r>
      <w:r>
        <w:t xml:space="preserve"> grade students (Source: CCYS 201</w:t>
      </w:r>
      <w:r w:rsidR="00BC45C9">
        <w:t>2</w:t>
      </w:r>
      <w:r>
        <w:t>)</w:t>
      </w:r>
      <w:bookmarkEnd w:id="25"/>
    </w:p>
    <w:p w:rsidR="00CC24A6" w:rsidRDefault="000A01C8" w:rsidP="006D1A5D">
      <w:r>
        <w:t>The</w:t>
      </w:r>
      <w:r w:rsidR="005C4AF6">
        <w:t xml:space="preserve"> trend in the</w:t>
      </w:r>
      <w:r>
        <w:t xml:space="preserve"> rate</w:t>
      </w:r>
      <w:r w:rsidR="005C4AF6">
        <w:t>s</w:t>
      </w:r>
      <w:r>
        <w:t xml:space="preserve"> of binge drinking amongst youth is very similar to the rates of drinking overall</w:t>
      </w:r>
      <w:r w:rsidR="005C4AF6">
        <w:t xml:space="preserve"> (see </w:t>
      </w:r>
      <w:r w:rsidR="00DD1BE8">
        <w:fldChar w:fldCharType="begin"/>
      </w:r>
      <w:r w:rsidR="005C4AF6">
        <w:instrText xml:space="preserve"> REF _Ref356310015 \h </w:instrText>
      </w:r>
      <w:r w:rsidR="00DD1BE8">
        <w:fldChar w:fldCharType="separate"/>
      </w:r>
      <w:r w:rsidR="0002537D">
        <w:t xml:space="preserve">Figure </w:t>
      </w:r>
      <w:r w:rsidR="0002537D">
        <w:rPr>
          <w:noProof/>
        </w:rPr>
        <w:t>8</w:t>
      </w:r>
      <w:r w:rsidR="00DD1BE8">
        <w:fldChar w:fldCharType="end"/>
      </w:r>
      <w:r w:rsidR="005C4AF6">
        <w:t>)</w:t>
      </w:r>
      <w:r>
        <w:t>. There is, perhaps, a more pronounced downward trend in binge drinking</w:t>
      </w:r>
      <w:r w:rsidR="005C4AF6">
        <w:t xml:space="preserve"> than overall drinking for Louisiana youth</w:t>
      </w:r>
      <w:r>
        <w:t>, but</w:t>
      </w:r>
      <w:r w:rsidR="005C4AF6">
        <w:t xml:space="preserve"> again the state rates are higher than the national rates. </w:t>
      </w:r>
    </w:p>
    <w:p w:rsidR="001700FB" w:rsidRDefault="001700FB" w:rsidP="006D1A5D">
      <w:r>
        <w:rPr>
          <w:noProof/>
        </w:rPr>
        <w:drawing>
          <wp:inline distT="0" distB="0" distL="0" distR="0">
            <wp:extent cx="5943600" cy="3093720"/>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7798B" w:rsidRDefault="0007798B" w:rsidP="006D1A5D">
      <w:pPr>
        <w:pStyle w:val="Caption"/>
      </w:pPr>
      <w:bookmarkStart w:id="26" w:name="_Toc362873970"/>
      <w:proofErr w:type="gramStart"/>
      <w:r>
        <w:t xml:space="preserve">Figure </w:t>
      </w:r>
      <w:r w:rsidR="00DD1BE8">
        <w:fldChar w:fldCharType="begin"/>
      </w:r>
      <w:r w:rsidR="00A034FF">
        <w:instrText xml:space="preserve"> SEQ Figure \* ARABIC </w:instrText>
      </w:r>
      <w:r w:rsidR="00DD1BE8">
        <w:fldChar w:fldCharType="separate"/>
      </w:r>
      <w:r w:rsidR="0002537D">
        <w:rPr>
          <w:noProof/>
        </w:rPr>
        <w:t>7</w:t>
      </w:r>
      <w:r w:rsidR="00DD1BE8">
        <w:rPr>
          <w:noProof/>
        </w:rPr>
        <w:fldChar w:fldCharType="end"/>
      </w:r>
      <w:r>
        <w:t>.</w:t>
      </w:r>
      <w:proofErr w:type="gramEnd"/>
      <w:r>
        <w:t xml:space="preserve"> Statewide rates of binge drinking for 6</w:t>
      </w:r>
      <w:r w:rsidRPr="00BC62F3">
        <w:rPr>
          <w:vertAlign w:val="superscript"/>
        </w:rPr>
        <w:t>th</w:t>
      </w:r>
      <w:r>
        <w:t>, 8</w:t>
      </w:r>
      <w:r w:rsidRPr="00BC62F3">
        <w:rPr>
          <w:vertAlign w:val="superscript"/>
        </w:rPr>
        <w:t>th</w:t>
      </w:r>
      <w:r>
        <w:t>, 10</w:t>
      </w:r>
      <w:r w:rsidRPr="00BC62F3">
        <w:rPr>
          <w:vertAlign w:val="superscript"/>
        </w:rPr>
        <w:t>th</w:t>
      </w:r>
      <w:r>
        <w:t xml:space="preserve">, and </w:t>
      </w:r>
      <w:r w:rsidR="00BC62F3">
        <w:t>12</w:t>
      </w:r>
      <w:r w:rsidR="00BC62F3" w:rsidRPr="00BC62F3">
        <w:rPr>
          <w:vertAlign w:val="superscript"/>
        </w:rPr>
        <w:t>th</w:t>
      </w:r>
      <w:r>
        <w:t xml:space="preserve"> grade students (Source: CCYS)</w:t>
      </w:r>
      <w:bookmarkEnd w:id="26"/>
    </w:p>
    <w:p w:rsidR="0007798B" w:rsidRDefault="00DD1BE8" w:rsidP="006D1A5D">
      <w:r>
        <w:lastRenderedPageBreak/>
        <w:fldChar w:fldCharType="begin"/>
      </w:r>
      <w:r w:rsidR="005C4AF6">
        <w:instrText xml:space="preserve"> REF _Ref356310015 \h </w:instrText>
      </w:r>
      <w:r>
        <w:fldChar w:fldCharType="separate"/>
      </w:r>
      <w:r w:rsidR="0002537D">
        <w:t xml:space="preserve">Figure </w:t>
      </w:r>
      <w:r w:rsidR="0002537D">
        <w:rPr>
          <w:noProof/>
        </w:rPr>
        <w:t>8</w:t>
      </w:r>
      <w:r>
        <w:fldChar w:fldCharType="end"/>
      </w:r>
      <w:r w:rsidR="005C4AF6">
        <w:t xml:space="preserve"> contains the maps of parish level rates of binge drinking across the state and these are also similar to what was evident in the overall rates of youth drinking. Specifically, the southern parishes tend to have higher rates of binge drinking in comparison to the more northern parishes and the differences appear more prominently in later grades. For local prevention practitioners, these results may be indicative of differing cultural norms across that state. Local prevention practitioners will need to consider local rates of youth alcohol use and binge drinking to ensure that selected prevention activities are sensitive to and appropriate for the cultural norms of the community. </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5076"/>
        <w:gridCol w:w="5076"/>
      </w:tblGrid>
      <w:tr w:rsidR="00137B04" w:rsidTr="000A01C8">
        <w:tc>
          <w:tcPr>
            <w:tcW w:w="5076" w:type="dxa"/>
          </w:tcPr>
          <w:p w:rsidR="00137B04" w:rsidRDefault="00137B04" w:rsidP="006D1A5D">
            <w:r>
              <w:rPr>
                <w:noProof/>
              </w:rPr>
              <w:drawing>
                <wp:inline distT="0" distB="0" distL="0" distR="0">
                  <wp:extent cx="3076687" cy="2377440"/>
                  <wp:effectExtent l="19050" t="0" r="9413"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inking Youth 8th.jpg"/>
                          <pic:cNvPicPr/>
                        </pic:nvPicPr>
                        <pic:blipFill>
                          <a:blip r:embed="rId27" cstate="print"/>
                          <a:stretch>
                            <a:fillRect/>
                          </a:stretch>
                        </pic:blipFill>
                        <pic:spPr>
                          <a:xfrm>
                            <a:off x="0" y="0"/>
                            <a:ext cx="3076687" cy="2377440"/>
                          </a:xfrm>
                          <a:prstGeom prst="rect">
                            <a:avLst/>
                          </a:prstGeom>
                        </pic:spPr>
                      </pic:pic>
                    </a:graphicData>
                  </a:graphic>
                </wp:inline>
              </w:drawing>
            </w:r>
          </w:p>
        </w:tc>
        <w:tc>
          <w:tcPr>
            <w:tcW w:w="5076" w:type="dxa"/>
          </w:tcPr>
          <w:p w:rsidR="00137B04" w:rsidRDefault="00137B04" w:rsidP="006D1A5D">
            <w:r>
              <w:rPr>
                <w:noProof/>
              </w:rPr>
              <w:drawing>
                <wp:inline distT="0" distB="0" distL="0" distR="0">
                  <wp:extent cx="3076614" cy="2377383"/>
                  <wp:effectExtent l="19050" t="0" r="9486"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inking Youth 10th.jpg"/>
                          <pic:cNvPicPr/>
                        </pic:nvPicPr>
                        <pic:blipFill>
                          <a:blip r:embed="rId28" cstate="print"/>
                          <a:stretch>
                            <a:fillRect/>
                          </a:stretch>
                        </pic:blipFill>
                        <pic:spPr>
                          <a:xfrm>
                            <a:off x="0" y="0"/>
                            <a:ext cx="3076614" cy="2377383"/>
                          </a:xfrm>
                          <a:prstGeom prst="rect">
                            <a:avLst/>
                          </a:prstGeom>
                        </pic:spPr>
                      </pic:pic>
                    </a:graphicData>
                  </a:graphic>
                </wp:inline>
              </w:drawing>
            </w:r>
          </w:p>
        </w:tc>
      </w:tr>
      <w:tr w:rsidR="00137B04" w:rsidTr="000A01C8">
        <w:tc>
          <w:tcPr>
            <w:tcW w:w="10152" w:type="dxa"/>
            <w:gridSpan w:val="2"/>
          </w:tcPr>
          <w:p w:rsidR="00137B04" w:rsidRDefault="00137B04" w:rsidP="004F27D5">
            <w:pPr>
              <w:jc w:val="center"/>
            </w:pPr>
            <w:r>
              <w:rPr>
                <w:noProof/>
              </w:rPr>
              <w:drawing>
                <wp:inline distT="0" distB="0" distL="0" distR="0">
                  <wp:extent cx="4733257" cy="3657516"/>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inking Youth 12th.jpg"/>
                          <pic:cNvPicPr/>
                        </pic:nvPicPr>
                        <pic:blipFill>
                          <a:blip r:embed="rId29" cstate="print"/>
                          <a:stretch>
                            <a:fillRect/>
                          </a:stretch>
                        </pic:blipFill>
                        <pic:spPr>
                          <a:xfrm>
                            <a:off x="0" y="0"/>
                            <a:ext cx="4733257" cy="3657516"/>
                          </a:xfrm>
                          <a:prstGeom prst="rect">
                            <a:avLst/>
                          </a:prstGeom>
                        </pic:spPr>
                      </pic:pic>
                    </a:graphicData>
                  </a:graphic>
                </wp:inline>
              </w:drawing>
            </w:r>
          </w:p>
        </w:tc>
      </w:tr>
    </w:tbl>
    <w:p w:rsidR="00137B04" w:rsidRDefault="0007798B" w:rsidP="006D1A5D">
      <w:pPr>
        <w:pStyle w:val="Caption"/>
      </w:pPr>
      <w:bookmarkStart w:id="27" w:name="_Ref356310015"/>
      <w:bookmarkStart w:id="28" w:name="_Toc362873971"/>
      <w:proofErr w:type="gramStart"/>
      <w:r>
        <w:t xml:space="preserve">Figure </w:t>
      </w:r>
      <w:r w:rsidR="00DD1BE8">
        <w:fldChar w:fldCharType="begin"/>
      </w:r>
      <w:r w:rsidR="00A034FF">
        <w:instrText xml:space="preserve"> SEQ Figure \* ARABIC </w:instrText>
      </w:r>
      <w:r w:rsidR="00DD1BE8">
        <w:fldChar w:fldCharType="separate"/>
      </w:r>
      <w:r w:rsidR="0002537D">
        <w:rPr>
          <w:noProof/>
        </w:rPr>
        <w:t>8</w:t>
      </w:r>
      <w:r w:rsidR="00DD1BE8">
        <w:rPr>
          <w:noProof/>
        </w:rPr>
        <w:fldChar w:fldCharType="end"/>
      </w:r>
      <w:bookmarkEnd w:id="27"/>
      <w:r w:rsidRPr="00AE4D00">
        <w:t>.</w:t>
      </w:r>
      <w:proofErr w:type="gramEnd"/>
      <w:r w:rsidRPr="00AE4D00">
        <w:t xml:space="preserve"> Relative rates of </w:t>
      </w:r>
      <w:r>
        <w:t>binge drinking</w:t>
      </w:r>
      <w:r w:rsidRPr="00AE4D00">
        <w:t xml:space="preserve"> by parish for 8th, 10th, and 12th grade students (Source: CCYS 201</w:t>
      </w:r>
      <w:r w:rsidR="00BC45C9">
        <w:t>2</w:t>
      </w:r>
      <w:r w:rsidRPr="00AE4D00">
        <w:t>)</w:t>
      </w:r>
      <w:bookmarkEnd w:id="28"/>
    </w:p>
    <w:p w:rsidR="0049168C" w:rsidRDefault="00411A55" w:rsidP="006D1A5D">
      <w:r>
        <w:t>One of the reasons that there is a continued focus on preventing underage</w:t>
      </w:r>
      <w:r w:rsidR="0073347C">
        <w:t xml:space="preserve"> drinking is that higher rates of youth alcohol use are indicative of higher rates of use </w:t>
      </w:r>
      <w:r w:rsidR="00CD7A98">
        <w:t>as</w:t>
      </w:r>
      <w:r w:rsidR="0073347C">
        <w:t xml:space="preserve"> youths become adults. The underage </w:t>
      </w:r>
      <w:r w:rsidR="00D451C9">
        <w:t>rates increase as youth become</w:t>
      </w:r>
      <w:r w:rsidR="0073347C">
        <w:t xml:space="preserve"> young adult</w:t>
      </w:r>
      <w:r w:rsidR="00D451C9">
        <w:t>s and this population</w:t>
      </w:r>
      <w:r w:rsidR="0073347C">
        <w:t xml:space="preserve"> ha</w:t>
      </w:r>
      <w:r w:rsidR="00D451C9">
        <w:t>s</w:t>
      </w:r>
      <w:r w:rsidR="0073347C">
        <w:t xml:space="preserve"> the highest rate of negative consequences related to </w:t>
      </w:r>
      <w:r w:rsidR="0073347C">
        <w:lastRenderedPageBreak/>
        <w:t>alcohol abuse.</w:t>
      </w:r>
      <w:r w:rsidR="00D451C9">
        <w:t xml:space="preserve"> For example, the </w:t>
      </w:r>
      <w:r w:rsidR="00CD7A98">
        <w:t xml:space="preserve">highest rate of alcohol-related vehicle crash injuries is for young adults in the 21-24 age </w:t>
      </w:r>
      <w:proofErr w:type="gramStart"/>
      <w:r w:rsidR="00CD7A98">
        <w:t>bracket</w:t>
      </w:r>
      <w:proofErr w:type="gramEnd"/>
      <w:r w:rsidR="00CD7A98">
        <w:t xml:space="preserve"> (see </w:t>
      </w:r>
      <w:r w:rsidR="00DD1BE8">
        <w:fldChar w:fldCharType="begin"/>
      </w:r>
      <w:r w:rsidR="00CD7A98">
        <w:instrText xml:space="preserve"> REF _Ref356459109 \h </w:instrText>
      </w:r>
      <w:r w:rsidR="00DD1BE8">
        <w:fldChar w:fldCharType="separate"/>
      </w:r>
      <w:r w:rsidR="0002537D">
        <w:t xml:space="preserve">Figure </w:t>
      </w:r>
      <w:r w:rsidR="0002537D">
        <w:rPr>
          <w:noProof/>
        </w:rPr>
        <w:t>9</w:t>
      </w:r>
      <w:r w:rsidR="00DD1BE8">
        <w:fldChar w:fldCharType="end"/>
      </w:r>
      <w:r w:rsidR="00CD7A98">
        <w:t>). The next two age groups with the highest rates are 18-21 and 25-34. A similar pattern holds for alcohol-related vehicle crash fatalities.</w:t>
      </w:r>
    </w:p>
    <w:p w:rsidR="009A0A21" w:rsidRDefault="00C82F52" w:rsidP="009A0A21">
      <w:pPr>
        <w:keepNext/>
      </w:pPr>
      <w:r>
        <w:rPr>
          <w:noProof/>
        </w:rPr>
        <w:drawing>
          <wp:inline distT="0" distB="0" distL="0" distR="0">
            <wp:extent cx="5943600" cy="2028825"/>
            <wp:effectExtent l="0" t="0" r="19050" b="9525"/>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2722B" w:rsidRDefault="009A0A21" w:rsidP="009A0A21">
      <w:pPr>
        <w:pStyle w:val="Caption"/>
      </w:pPr>
      <w:bookmarkStart w:id="29" w:name="_Ref356459109"/>
      <w:bookmarkStart w:id="30" w:name="_Toc362873972"/>
      <w:proofErr w:type="gramStart"/>
      <w:r>
        <w:t xml:space="preserve">Figure </w:t>
      </w:r>
      <w:r w:rsidR="00DD1BE8">
        <w:fldChar w:fldCharType="begin"/>
      </w:r>
      <w:r w:rsidR="00A034FF">
        <w:instrText xml:space="preserve"> SEQ Figure \* ARABIC </w:instrText>
      </w:r>
      <w:r w:rsidR="00DD1BE8">
        <w:fldChar w:fldCharType="separate"/>
      </w:r>
      <w:r w:rsidR="0002537D">
        <w:rPr>
          <w:noProof/>
        </w:rPr>
        <w:t>9</w:t>
      </w:r>
      <w:r w:rsidR="00DD1BE8">
        <w:rPr>
          <w:noProof/>
        </w:rPr>
        <w:fldChar w:fldCharType="end"/>
      </w:r>
      <w:bookmarkEnd w:id="29"/>
      <w:r>
        <w:t>.</w:t>
      </w:r>
      <w:proofErr w:type="gramEnd"/>
      <w:r>
        <w:t xml:space="preserve"> Louisiana Statewide Alcohol-related Injury Crash rates</w:t>
      </w:r>
      <w:r>
        <w:rPr>
          <w:noProof/>
        </w:rPr>
        <w:t xml:space="preserve"> (Source: LSU Highway Safety Research Group 2012)</w:t>
      </w:r>
      <w:bookmarkEnd w:id="30"/>
    </w:p>
    <w:p w:rsidR="0002537D" w:rsidRDefault="00DD1BE8" w:rsidP="006D1A5D">
      <w:r>
        <w:fldChar w:fldCharType="begin"/>
      </w:r>
      <w:r w:rsidR="00CD7A98">
        <w:instrText xml:space="preserve"> REF _Ref356459598 \h </w:instrText>
      </w:r>
      <w:r w:rsidR="00F91A5B">
        <w:instrText xml:space="preserve"> \* MERGEFORMAT </w:instrText>
      </w:r>
      <w:r>
        <w:fldChar w:fldCharType="separate"/>
      </w:r>
    </w:p>
    <w:p w:rsidR="0002722B" w:rsidRDefault="00F91A5B" w:rsidP="006D1A5D">
      <w:r w:rsidRPr="00F91A5B">
        <w:t xml:space="preserve">As shown </w:t>
      </w:r>
      <w:r>
        <w:t xml:space="preserve">in </w:t>
      </w:r>
      <w:r w:rsidR="0002537D">
        <w:t xml:space="preserve">Table </w:t>
      </w:r>
      <w:r w:rsidR="0002537D">
        <w:rPr>
          <w:noProof/>
        </w:rPr>
        <w:t>2</w:t>
      </w:r>
      <w:r w:rsidR="00DD1BE8">
        <w:fldChar w:fldCharType="end"/>
      </w:r>
      <w:r w:rsidR="00CD7A98">
        <w:t>, rates of recent alcohol use and of binge drinking are substantially higher for higher education than it is for 12</w:t>
      </w:r>
      <w:r w:rsidR="00CD7A98" w:rsidRPr="00CD7A98">
        <w:rPr>
          <w:vertAlign w:val="superscript"/>
        </w:rPr>
        <w:t>th</w:t>
      </w:r>
      <w:r w:rsidR="00CD7A98">
        <w:t xml:space="preserve"> grade students. Nearly two thirds of the higher education </w:t>
      </w:r>
      <w:r w:rsidR="003319A0">
        <w:t>population has</w:t>
      </w:r>
      <w:r w:rsidR="00CD7A98">
        <w:t xml:space="preserve"> used alcohol within the past 30 days, regardless of whether they are underage, and over one third report </w:t>
      </w:r>
      <w:proofErr w:type="gramStart"/>
      <w:r w:rsidR="00CD7A98">
        <w:t>binge</w:t>
      </w:r>
      <w:proofErr w:type="gramEnd"/>
      <w:r w:rsidR="00CD7A98">
        <w:t xml:space="preserve"> drinking within the last two weeks. Prevention activities that focus on youth and young adults have a greatest chance of influencing the consumption and consequences of alcohol use overall. </w:t>
      </w:r>
    </w:p>
    <w:p w:rsidR="002D25D7" w:rsidRDefault="002D25D7" w:rsidP="006D1A5D">
      <w:bookmarkStart w:id="31" w:name="_Ref356459598"/>
    </w:p>
    <w:p w:rsidR="00CD7A98" w:rsidRDefault="00CD7A98" w:rsidP="00CD7A98">
      <w:pPr>
        <w:pStyle w:val="Caption"/>
        <w:keepNext/>
      </w:pPr>
      <w:proofErr w:type="gramStart"/>
      <w:r>
        <w:t xml:space="preserve">Table </w:t>
      </w:r>
      <w:r w:rsidR="00DD1BE8">
        <w:fldChar w:fldCharType="begin"/>
      </w:r>
      <w:r w:rsidR="00A034FF">
        <w:instrText xml:space="preserve"> SEQ Table \* ARABIC </w:instrText>
      </w:r>
      <w:r w:rsidR="00DD1BE8">
        <w:fldChar w:fldCharType="separate"/>
      </w:r>
      <w:r w:rsidR="0002537D">
        <w:rPr>
          <w:noProof/>
        </w:rPr>
        <w:t>2</w:t>
      </w:r>
      <w:r w:rsidR="00DD1BE8">
        <w:rPr>
          <w:noProof/>
        </w:rPr>
        <w:fldChar w:fldCharType="end"/>
      </w:r>
      <w:bookmarkEnd w:id="31"/>
      <w:r>
        <w:t>.</w:t>
      </w:r>
      <w:proofErr w:type="gramEnd"/>
      <w:r>
        <w:t xml:space="preserve"> Higher Education Alcohol Usage Compared to 12</w:t>
      </w:r>
      <w:r w:rsidRPr="00CD7A98">
        <w:rPr>
          <w:vertAlign w:val="superscript"/>
        </w:rPr>
        <w:t>th</w:t>
      </w:r>
      <w:r>
        <w:t xml:space="preserve"> Grade Rates (Sou</w:t>
      </w:r>
      <w:r w:rsidR="00FB251E">
        <w:t>rces: CORE 2009, 2011; CCYS 2012</w:t>
      </w:r>
      <w:r>
        <w:t>)</w:t>
      </w:r>
    </w:p>
    <w:tbl>
      <w:tblPr>
        <w:tblW w:w="5000" w:type="pct"/>
        <w:tblLook w:val="04A0" w:firstRow="1" w:lastRow="0" w:firstColumn="1" w:lastColumn="0" w:noHBand="0" w:noVBand="1"/>
      </w:tblPr>
      <w:tblGrid>
        <w:gridCol w:w="5737"/>
        <w:gridCol w:w="958"/>
        <w:gridCol w:w="958"/>
        <w:gridCol w:w="2499"/>
      </w:tblGrid>
      <w:tr w:rsidR="00CD7A98" w:rsidRPr="007A7B77" w:rsidTr="00CD7A98">
        <w:trPr>
          <w:cantSplit/>
          <w:trHeight w:val="315"/>
          <w:tblHeader/>
        </w:trPr>
        <w:tc>
          <w:tcPr>
            <w:tcW w:w="2824" w:type="pct"/>
            <w:tcBorders>
              <w:top w:val="single" w:sz="4" w:space="0" w:color="auto"/>
              <w:left w:val="single" w:sz="4" w:space="0" w:color="auto"/>
              <w:bottom w:val="single" w:sz="4" w:space="0" w:color="auto"/>
              <w:right w:val="single" w:sz="4" w:space="0" w:color="auto"/>
            </w:tcBorders>
            <w:shd w:val="clear" w:color="000000" w:fill="00457C"/>
            <w:noWrap/>
            <w:vAlign w:val="bottom"/>
            <w:hideMark/>
          </w:tcPr>
          <w:p w:rsidR="00CD7A98" w:rsidRPr="007A7B77" w:rsidRDefault="00CD7A98" w:rsidP="00F75DD4">
            <w:pPr>
              <w:pStyle w:val="TableText"/>
            </w:pPr>
            <w:r w:rsidRPr="007A7B77">
              <w:t>Higher-Ed Alcohol Usage (CORE Survey)</w:t>
            </w:r>
          </w:p>
        </w:tc>
        <w:tc>
          <w:tcPr>
            <w:tcW w:w="472" w:type="pct"/>
            <w:tcBorders>
              <w:top w:val="single" w:sz="4" w:space="0" w:color="auto"/>
              <w:left w:val="nil"/>
              <w:bottom w:val="single" w:sz="4" w:space="0" w:color="auto"/>
              <w:right w:val="single" w:sz="4" w:space="0" w:color="auto"/>
            </w:tcBorders>
            <w:shd w:val="clear" w:color="000000" w:fill="00457C"/>
            <w:noWrap/>
            <w:vAlign w:val="bottom"/>
            <w:hideMark/>
          </w:tcPr>
          <w:p w:rsidR="00CD7A98" w:rsidRPr="007A7B77" w:rsidRDefault="00CD7A98" w:rsidP="00F75DD4">
            <w:pPr>
              <w:pStyle w:val="TableText"/>
            </w:pPr>
            <w:r w:rsidRPr="007A7B77">
              <w:t>2009</w:t>
            </w:r>
          </w:p>
        </w:tc>
        <w:tc>
          <w:tcPr>
            <w:tcW w:w="472" w:type="pct"/>
            <w:tcBorders>
              <w:top w:val="single" w:sz="4" w:space="0" w:color="auto"/>
              <w:left w:val="nil"/>
              <w:bottom w:val="single" w:sz="4" w:space="0" w:color="auto"/>
              <w:right w:val="single" w:sz="4" w:space="0" w:color="auto"/>
            </w:tcBorders>
            <w:shd w:val="clear" w:color="000000" w:fill="00457C"/>
            <w:noWrap/>
            <w:vAlign w:val="bottom"/>
            <w:hideMark/>
          </w:tcPr>
          <w:p w:rsidR="00CD7A98" w:rsidRPr="007A7B77" w:rsidRDefault="00CD7A98" w:rsidP="00F75DD4">
            <w:pPr>
              <w:pStyle w:val="TableText"/>
            </w:pPr>
            <w:r w:rsidRPr="007A7B77">
              <w:t>2011</w:t>
            </w:r>
          </w:p>
        </w:tc>
        <w:tc>
          <w:tcPr>
            <w:tcW w:w="1231" w:type="pct"/>
            <w:tcBorders>
              <w:top w:val="single" w:sz="4" w:space="0" w:color="auto"/>
              <w:left w:val="nil"/>
              <w:bottom w:val="single" w:sz="4" w:space="0" w:color="auto"/>
              <w:right w:val="single" w:sz="4" w:space="0" w:color="auto"/>
            </w:tcBorders>
            <w:shd w:val="clear" w:color="000000" w:fill="00457C"/>
            <w:vAlign w:val="bottom"/>
          </w:tcPr>
          <w:p w:rsidR="00CD7A98" w:rsidRPr="007A7B77" w:rsidRDefault="00CD7A98" w:rsidP="00CD7A98">
            <w:pPr>
              <w:pStyle w:val="TableText"/>
            </w:pPr>
            <w:r>
              <w:t>12</w:t>
            </w:r>
            <w:r w:rsidRPr="00CD7A98">
              <w:t>th</w:t>
            </w:r>
            <w:r w:rsidR="00FB251E">
              <w:t xml:space="preserve"> Grade 2012</w:t>
            </w:r>
          </w:p>
        </w:tc>
      </w:tr>
      <w:tr w:rsidR="00CD7A98" w:rsidRPr="007A7B77" w:rsidTr="00CD7A98">
        <w:trPr>
          <w:trHeight w:val="315"/>
        </w:trPr>
        <w:tc>
          <w:tcPr>
            <w:tcW w:w="2824" w:type="pct"/>
            <w:tcBorders>
              <w:top w:val="nil"/>
              <w:left w:val="single" w:sz="4" w:space="0" w:color="auto"/>
              <w:bottom w:val="single" w:sz="4" w:space="0" w:color="auto"/>
              <w:right w:val="single" w:sz="4" w:space="0" w:color="auto"/>
            </w:tcBorders>
            <w:shd w:val="clear" w:color="auto" w:fill="auto"/>
            <w:noWrap/>
            <w:vAlign w:val="bottom"/>
            <w:hideMark/>
          </w:tcPr>
          <w:p w:rsidR="00CD7A98" w:rsidRPr="007A7B77" w:rsidRDefault="00CD7A98" w:rsidP="00F75DD4">
            <w:pPr>
              <w:pStyle w:val="TableText"/>
            </w:pPr>
            <w:r w:rsidRPr="007A7B77">
              <w:t>Higher Ed-Underage Alcohol Use-30-Day</w:t>
            </w:r>
          </w:p>
        </w:tc>
        <w:tc>
          <w:tcPr>
            <w:tcW w:w="472" w:type="pct"/>
            <w:tcBorders>
              <w:top w:val="nil"/>
              <w:left w:val="nil"/>
              <w:bottom w:val="single" w:sz="4" w:space="0" w:color="auto"/>
              <w:right w:val="single" w:sz="4" w:space="0" w:color="auto"/>
            </w:tcBorders>
            <w:shd w:val="clear" w:color="auto" w:fill="auto"/>
            <w:noWrap/>
            <w:vAlign w:val="bottom"/>
            <w:hideMark/>
          </w:tcPr>
          <w:p w:rsidR="00CD7A98" w:rsidRPr="007A7B77" w:rsidRDefault="00CD7A98" w:rsidP="00F75DD4">
            <w:pPr>
              <w:pStyle w:val="TableText"/>
            </w:pPr>
            <w:r w:rsidRPr="007A7B77">
              <w:t>61.1</w:t>
            </w:r>
          </w:p>
        </w:tc>
        <w:tc>
          <w:tcPr>
            <w:tcW w:w="472" w:type="pct"/>
            <w:tcBorders>
              <w:top w:val="nil"/>
              <w:left w:val="nil"/>
              <w:bottom w:val="single" w:sz="4" w:space="0" w:color="auto"/>
              <w:right w:val="single" w:sz="4" w:space="0" w:color="auto"/>
            </w:tcBorders>
            <w:shd w:val="clear" w:color="auto" w:fill="auto"/>
            <w:noWrap/>
            <w:vAlign w:val="bottom"/>
            <w:hideMark/>
          </w:tcPr>
          <w:p w:rsidR="00CD7A98" w:rsidRPr="007A7B77" w:rsidRDefault="00CD7A98" w:rsidP="00F75DD4">
            <w:pPr>
              <w:pStyle w:val="TableText"/>
            </w:pPr>
            <w:r w:rsidRPr="007A7B77">
              <w:t>60.2</w:t>
            </w:r>
          </w:p>
        </w:tc>
        <w:tc>
          <w:tcPr>
            <w:tcW w:w="1231" w:type="pct"/>
            <w:tcBorders>
              <w:top w:val="nil"/>
              <w:left w:val="nil"/>
              <w:bottom w:val="single" w:sz="4" w:space="0" w:color="auto"/>
              <w:right w:val="single" w:sz="4" w:space="0" w:color="auto"/>
            </w:tcBorders>
            <w:vAlign w:val="bottom"/>
          </w:tcPr>
          <w:p w:rsidR="00CD7A98" w:rsidRPr="007A7B77" w:rsidRDefault="00CD7A98" w:rsidP="00CD7A98">
            <w:pPr>
              <w:pStyle w:val="TableText"/>
            </w:pPr>
            <w:r>
              <w:t>NA</w:t>
            </w:r>
          </w:p>
        </w:tc>
      </w:tr>
      <w:tr w:rsidR="00CD7A98" w:rsidRPr="007A7B77" w:rsidTr="00CD7A98">
        <w:trPr>
          <w:trHeight w:val="315"/>
        </w:trPr>
        <w:tc>
          <w:tcPr>
            <w:tcW w:w="2824" w:type="pct"/>
            <w:tcBorders>
              <w:top w:val="nil"/>
              <w:left w:val="single" w:sz="4" w:space="0" w:color="auto"/>
              <w:bottom w:val="single" w:sz="4" w:space="0" w:color="auto"/>
              <w:right w:val="single" w:sz="4" w:space="0" w:color="auto"/>
            </w:tcBorders>
            <w:shd w:val="clear" w:color="auto" w:fill="auto"/>
            <w:noWrap/>
            <w:vAlign w:val="bottom"/>
            <w:hideMark/>
          </w:tcPr>
          <w:p w:rsidR="00CD7A98" w:rsidRPr="007A7B77" w:rsidRDefault="00CD7A98" w:rsidP="00F75DD4">
            <w:pPr>
              <w:pStyle w:val="TableText"/>
            </w:pPr>
            <w:r w:rsidRPr="007A7B77">
              <w:t>Higher Ed-Alcohol Use-30-Day</w:t>
            </w:r>
          </w:p>
        </w:tc>
        <w:tc>
          <w:tcPr>
            <w:tcW w:w="472" w:type="pct"/>
            <w:tcBorders>
              <w:top w:val="nil"/>
              <w:left w:val="nil"/>
              <w:bottom w:val="single" w:sz="4" w:space="0" w:color="auto"/>
              <w:right w:val="single" w:sz="4" w:space="0" w:color="auto"/>
            </w:tcBorders>
            <w:shd w:val="clear" w:color="auto" w:fill="auto"/>
            <w:noWrap/>
            <w:vAlign w:val="bottom"/>
            <w:hideMark/>
          </w:tcPr>
          <w:p w:rsidR="00CD7A98" w:rsidRPr="007A7B77" w:rsidRDefault="00CD7A98" w:rsidP="00F75DD4">
            <w:pPr>
              <w:pStyle w:val="TableText"/>
            </w:pPr>
            <w:r w:rsidRPr="007A7B77">
              <w:t>64.1</w:t>
            </w:r>
          </w:p>
        </w:tc>
        <w:tc>
          <w:tcPr>
            <w:tcW w:w="472" w:type="pct"/>
            <w:tcBorders>
              <w:top w:val="nil"/>
              <w:left w:val="nil"/>
              <w:bottom w:val="single" w:sz="4" w:space="0" w:color="auto"/>
              <w:right w:val="single" w:sz="4" w:space="0" w:color="auto"/>
            </w:tcBorders>
            <w:shd w:val="clear" w:color="auto" w:fill="auto"/>
            <w:noWrap/>
            <w:vAlign w:val="bottom"/>
            <w:hideMark/>
          </w:tcPr>
          <w:p w:rsidR="00CD7A98" w:rsidRPr="007A7B77" w:rsidRDefault="00CD7A98" w:rsidP="00F75DD4">
            <w:pPr>
              <w:pStyle w:val="TableText"/>
            </w:pPr>
            <w:r w:rsidRPr="007A7B77">
              <w:t>62.6</w:t>
            </w:r>
          </w:p>
        </w:tc>
        <w:tc>
          <w:tcPr>
            <w:tcW w:w="1231" w:type="pct"/>
            <w:tcBorders>
              <w:top w:val="nil"/>
              <w:left w:val="nil"/>
              <w:bottom w:val="single" w:sz="4" w:space="0" w:color="auto"/>
              <w:right w:val="single" w:sz="4" w:space="0" w:color="auto"/>
            </w:tcBorders>
            <w:vAlign w:val="bottom"/>
          </w:tcPr>
          <w:p w:rsidR="00CD7A98" w:rsidRPr="007A7B77" w:rsidRDefault="00FB251E" w:rsidP="00CD7A98">
            <w:pPr>
              <w:pStyle w:val="TableText"/>
            </w:pPr>
            <w:r>
              <w:t>45.8</w:t>
            </w:r>
          </w:p>
        </w:tc>
      </w:tr>
      <w:tr w:rsidR="00CD7A98" w:rsidRPr="007A7B77" w:rsidTr="00CD7A98">
        <w:trPr>
          <w:trHeight w:val="315"/>
        </w:trPr>
        <w:tc>
          <w:tcPr>
            <w:tcW w:w="2824" w:type="pct"/>
            <w:tcBorders>
              <w:top w:val="nil"/>
              <w:left w:val="single" w:sz="4" w:space="0" w:color="auto"/>
              <w:bottom w:val="single" w:sz="4" w:space="0" w:color="auto"/>
              <w:right w:val="single" w:sz="4" w:space="0" w:color="auto"/>
            </w:tcBorders>
            <w:shd w:val="clear" w:color="auto" w:fill="auto"/>
            <w:noWrap/>
            <w:vAlign w:val="bottom"/>
            <w:hideMark/>
          </w:tcPr>
          <w:p w:rsidR="00CD7A98" w:rsidRPr="007A7B77" w:rsidRDefault="00CD7A98" w:rsidP="00F75DD4">
            <w:pPr>
              <w:pStyle w:val="TableText"/>
            </w:pPr>
            <w:r w:rsidRPr="007A7B77">
              <w:t>Higher Ed-Binge Drinking</w:t>
            </w:r>
            <w:r>
              <w:t xml:space="preserve"> Past 2 Weeks</w:t>
            </w:r>
          </w:p>
        </w:tc>
        <w:tc>
          <w:tcPr>
            <w:tcW w:w="472" w:type="pct"/>
            <w:tcBorders>
              <w:top w:val="nil"/>
              <w:left w:val="nil"/>
              <w:bottom w:val="single" w:sz="4" w:space="0" w:color="auto"/>
              <w:right w:val="single" w:sz="4" w:space="0" w:color="auto"/>
            </w:tcBorders>
            <w:shd w:val="clear" w:color="auto" w:fill="auto"/>
            <w:noWrap/>
            <w:vAlign w:val="bottom"/>
            <w:hideMark/>
          </w:tcPr>
          <w:p w:rsidR="00CD7A98" w:rsidRPr="007A7B77" w:rsidRDefault="00CD7A98" w:rsidP="00F75DD4">
            <w:pPr>
              <w:pStyle w:val="TableText"/>
            </w:pPr>
            <w:r w:rsidRPr="007A7B77">
              <w:t>36.6</w:t>
            </w:r>
          </w:p>
        </w:tc>
        <w:tc>
          <w:tcPr>
            <w:tcW w:w="472" w:type="pct"/>
            <w:tcBorders>
              <w:top w:val="nil"/>
              <w:left w:val="nil"/>
              <w:bottom w:val="single" w:sz="4" w:space="0" w:color="auto"/>
              <w:right w:val="single" w:sz="4" w:space="0" w:color="auto"/>
            </w:tcBorders>
            <w:shd w:val="clear" w:color="auto" w:fill="auto"/>
            <w:noWrap/>
            <w:vAlign w:val="bottom"/>
            <w:hideMark/>
          </w:tcPr>
          <w:p w:rsidR="00CD7A98" w:rsidRPr="007A7B77" w:rsidRDefault="00CD7A98" w:rsidP="00F75DD4">
            <w:pPr>
              <w:pStyle w:val="TableText"/>
            </w:pPr>
            <w:r w:rsidRPr="007A7B77">
              <w:t>36.0</w:t>
            </w:r>
          </w:p>
        </w:tc>
        <w:tc>
          <w:tcPr>
            <w:tcW w:w="1231" w:type="pct"/>
            <w:tcBorders>
              <w:top w:val="nil"/>
              <w:left w:val="nil"/>
              <w:bottom w:val="single" w:sz="4" w:space="0" w:color="auto"/>
              <w:right w:val="single" w:sz="4" w:space="0" w:color="auto"/>
            </w:tcBorders>
            <w:vAlign w:val="bottom"/>
          </w:tcPr>
          <w:p w:rsidR="00CD7A98" w:rsidRPr="007A7B77" w:rsidRDefault="00FB251E" w:rsidP="00CD7A98">
            <w:pPr>
              <w:pStyle w:val="TableText"/>
            </w:pPr>
            <w:r>
              <w:t>25.9</w:t>
            </w:r>
          </w:p>
        </w:tc>
      </w:tr>
    </w:tbl>
    <w:p w:rsidR="0002722B" w:rsidRDefault="0002722B" w:rsidP="007E2632">
      <w:pPr>
        <w:pStyle w:val="Heading3"/>
      </w:pPr>
      <w:bookmarkStart w:id="32" w:name="_Toc362873948"/>
      <w:r>
        <w:t>Adult Alcohol Indicators</w:t>
      </w:r>
      <w:bookmarkEnd w:id="32"/>
    </w:p>
    <w:p w:rsidR="0002722B" w:rsidRDefault="00F75DD4" w:rsidP="006D1A5D">
      <w:r>
        <w:t xml:space="preserve">The indicators for the adult population indicate that there may be some improvement in measures of the more immediate consequences of alcohol consumption. </w:t>
      </w:r>
      <w:r w:rsidR="0008695B">
        <w:t xml:space="preserve"> As shown in </w:t>
      </w:r>
      <w:r w:rsidR="00DD1BE8">
        <w:fldChar w:fldCharType="begin"/>
      </w:r>
      <w:r w:rsidR="0008695B">
        <w:instrText xml:space="preserve"> REF _Ref356460348 \h </w:instrText>
      </w:r>
      <w:r w:rsidR="00DD1BE8">
        <w:fldChar w:fldCharType="separate"/>
      </w:r>
      <w:r w:rsidR="0002537D">
        <w:t xml:space="preserve">Figure </w:t>
      </w:r>
      <w:r w:rsidR="0002537D">
        <w:rPr>
          <w:noProof/>
        </w:rPr>
        <w:t>10</w:t>
      </w:r>
      <w:r w:rsidR="00DD1BE8">
        <w:fldChar w:fldCharType="end"/>
      </w:r>
      <w:r w:rsidR="0008695B">
        <w:t>, the rate of alcohol-related vehicle crash injuries has decreased over 34% from 2001 to 2011. A similar decrease is seen in alcohol-related crash fatalities (</w:t>
      </w:r>
      <w:r w:rsidR="00DD1BE8">
        <w:fldChar w:fldCharType="begin"/>
      </w:r>
      <w:r w:rsidR="0008695B">
        <w:instrText xml:space="preserve"> REF _Ref356460804 \h </w:instrText>
      </w:r>
      <w:r w:rsidR="00DD1BE8">
        <w:fldChar w:fldCharType="separate"/>
      </w:r>
      <w:r w:rsidR="0002537D">
        <w:t xml:space="preserve">Figure </w:t>
      </w:r>
      <w:r w:rsidR="0002537D">
        <w:rPr>
          <w:noProof/>
        </w:rPr>
        <w:t>11</w:t>
      </w:r>
      <w:r w:rsidR="00DD1BE8">
        <w:fldChar w:fldCharType="end"/>
      </w:r>
      <w:r w:rsidR="0008695B">
        <w:t xml:space="preserve">). </w:t>
      </w:r>
    </w:p>
    <w:p w:rsidR="0008695B" w:rsidRDefault="0049168C" w:rsidP="0008695B">
      <w:pPr>
        <w:keepNext/>
      </w:pPr>
      <w:r>
        <w:rPr>
          <w:noProof/>
        </w:rPr>
        <w:lastRenderedPageBreak/>
        <w:drawing>
          <wp:inline distT="0" distB="0" distL="0" distR="0">
            <wp:extent cx="5943600" cy="22860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9168C" w:rsidRDefault="0008695B" w:rsidP="0008695B">
      <w:pPr>
        <w:pStyle w:val="Caption"/>
      </w:pPr>
      <w:bookmarkStart w:id="33" w:name="_Ref356460348"/>
      <w:bookmarkStart w:id="34" w:name="_Toc362873973"/>
      <w:proofErr w:type="gramStart"/>
      <w:r>
        <w:t xml:space="preserve">Figure </w:t>
      </w:r>
      <w:r w:rsidR="00DD1BE8">
        <w:fldChar w:fldCharType="begin"/>
      </w:r>
      <w:r w:rsidR="00A034FF">
        <w:instrText xml:space="preserve"> SEQ Figure \* ARABIC </w:instrText>
      </w:r>
      <w:r w:rsidR="00DD1BE8">
        <w:fldChar w:fldCharType="separate"/>
      </w:r>
      <w:r w:rsidR="0002537D">
        <w:rPr>
          <w:noProof/>
        </w:rPr>
        <w:t>10</w:t>
      </w:r>
      <w:r w:rsidR="00DD1BE8">
        <w:rPr>
          <w:noProof/>
        </w:rPr>
        <w:fldChar w:fldCharType="end"/>
      </w:r>
      <w:bookmarkEnd w:id="33"/>
      <w:r>
        <w:t>.</w:t>
      </w:r>
      <w:proofErr w:type="gramEnd"/>
      <w:r>
        <w:t xml:space="preserve"> Alcohol related vehicle crash injury rates in Louisiana from 2001 to 2011 (Source: Highway Safety Research Group)</w:t>
      </w:r>
      <w:bookmarkEnd w:id="34"/>
    </w:p>
    <w:p w:rsidR="00BD5257" w:rsidRPr="00BD5257" w:rsidRDefault="00BD5257" w:rsidP="00BD5257"/>
    <w:p w:rsidR="0008695B" w:rsidRDefault="0049168C" w:rsidP="0008695B">
      <w:pPr>
        <w:keepNext/>
      </w:pPr>
      <w:r>
        <w:rPr>
          <w:noProof/>
        </w:rPr>
        <w:drawing>
          <wp:inline distT="0" distB="0" distL="0" distR="0">
            <wp:extent cx="5943600" cy="22860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9168C" w:rsidRDefault="0008695B" w:rsidP="0008695B">
      <w:pPr>
        <w:pStyle w:val="Caption"/>
      </w:pPr>
      <w:bookmarkStart w:id="35" w:name="_Ref356460804"/>
      <w:bookmarkStart w:id="36" w:name="_Toc362873974"/>
      <w:proofErr w:type="gramStart"/>
      <w:r>
        <w:t xml:space="preserve">Figure </w:t>
      </w:r>
      <w:r w:rsidR="00DD1BE8">
        <w:fldChar w:fldCharType="begin"/>
      </w:r>
      <w:r w:rsidR="00A034FF">
        <w:instrText xml:space="preserve"> SEQ Figure \* ARABIC </w:instrText>
      </w:r>
      <w:r w:rsidR="00DD1BE8">
        <w:fldChar w:fldCharType="separate"/>
      </w:r>
      <w:r w:rsidR="0002537D">
        <w:rPr>
          <w:noProof/>
        </w:rPr>
        <w:t>11</w:t>
      </w:r>
      <w:r w:rsidR="00DD1BE8">
        <w:rPr>
          <w:noProof/>
        </w:rPr>
        <w:fldChar w:fldCharType="end"/>
      </w:r>
      <w:bookmarkEnd w:id="35"/>
      <w:r w:rsidRPr="00194F7F">
        <w:t>.</w:t>
      </w:r>
      <w:proofErr w:type="gramEnd"/>
      <w:r w:rsidRPr="00194F7F">
        <w:t xml:space="preserve"> Alcohol related vehicle crash </w:t>
      </w:r>
      <w:r>
        <w:t>fatality</w:t>
      </w:r>
      <w:r w:rsidRPr="00194F7F">
        <w:t xml:space="preserve"> rates in Louisiana from 2001 to 2011 (Source: Highway Safety Research Group)</w:t>
      </w:r>
      <w:bookmarkEnd w:id="36"/>
    </w:p>
    <w:p w:rsidR="00006A43" w:rsidRDefault="00006A43" w:rsidP="00006A43">
      <w:r>
        <w:t>In contrast to the indicators of consequences, the rates of both current alcohol use and of binge drinking within the last 30 days have seen a slight increase. There has been a nearly 5% increase in the rate of current drinking for adults in Louisiana, but that rate is still over 7% lower than the national rate (</w:t>
      </w:r>
      <w:r w:rsidR="00DD1BE8">
        <w:fldChar w:fldCharType="begin"/>
      </w:r>
      <w:r w:rsidR="00D0295F">
        <w:instrText xml:space="preserve"> REF _Ref356461316 \h </w:instrText>
      </w:r>
      <w:r w:rsidR="00DD1BE8">
        <w:fldChar w:fldCharType="separate"/>
      </w:r>
      <w:r w:rsidR="0002537D">
        <w:t xml:space="preserve">Figure </w:t>
      </w:r>
      <w:r w:rsidR="0002537D">
        <w:rPr>
          <w:noProof/>
        </w:rPr>
        <w:t>12</w:t>
      </w:r>
      <w:r w:rsidR="00DD1BE8">
        <w:fldChar w:fldCharType="end"/>
      </w:r>
      <w:r>
        <w:t>).</w:t>
      </w:r>
      <w:r w:rsidR="0098189A">
        <w:t xml:space="preserve"> While the national rate has also increased, the Louisiana increase (+4.7%) is over three times larger than the increase nationally (+1.3%)</w:t>
      </w:r>
      <w:r w:rsidR="00EE7EAE">
        <w:t>. Even with the greater increase in Louisiana, rates of current drinking are lower than the national rate and fall into the bottom fourth when compared to all other states (</w:t>
      </w:r>
      <w:r w:rsidR="00DD1BE8">
        <w:fldChar w:fldCharType="begin"/>
      </w:r>
      <w:r w:rsidR="00EE7EAE">
        <w:instrText xml:space="preserve"> REF _Ref356466762 \h </w:instrText>
      </w:r>
      <w:r w:rsidR="00DD1BE8">
        <w:fldChar w:fldCharType="separate"/>
      </w:r>
      <w:r w:rsidR="0002537D">
        <w:t xml:space="preserve">Figure </w:t>
      </w:r>
      <w:r w:rsidR="0002537D">
        <w:rPr>
          <w:noProof/>
        </w:rPr>
        <w:t>13</w:t>
      </w:r>
      <w:r w:rsidR="00DD1BE8">
        <w:fldChar w:fldCharType="end"/>
      </w:r>
      <w:r w:rsidR="00EE7EAE">
        <w:t>).</w:t>
      </w:r>
    </w:p>
    <w:p w:rsidR="00006A43" w:rsidRDefault="0049168C" w:rsidP="00006A43">
      <w:pPr>
        <w:keepNext/>
      </w:pPr>
      <w:r>
        <w:rPr>
          <w:noProof/>
        </w:rPr>
        <w:lastRenderedPageBreak/>
        <w:drawing>
          <wp:inline distT="0" distB="0" distL="0" distR="0">
            <wp:extent cx="5943600" cy="2377440"/>
            <wp:effectExtent l="0" t="0" r="0" b="381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9168C" w:rsidRDefault="00006A43" w:rsidP="00006A43">
      <w:pPr>
        <w:pStyle w:val="Caption"/>
      </w:pPr>
      <w:bookmarkStart w:id="37" w:name="_Ref356461316"/>
      <w:bookmarkStart w:id="38" w:name="_Toc362873975"/>
      <w:proofErr w:type="gramStart"/>
      <w:r>
        <w:t xml:space="preserve">Figure </w:t>
      </w:r>
      <w:r w:rsidR="00DD1BE8">
        <w:fldChar w:fldCharType="begin"/>
      </w:r>
      <w:r w:rsidR="00A034FF">
        <w:instrText xml:space="preserve"> SEQ Figure \* ARABIC </w:instrText>
      </w:r>
      <w:r w:rsidR="00DD1BE8">
        <w:fldChar w:fldCharType="separate"/>
      </w:r>
      <w:r w:rsidR="0002537D">
        <w:rPr>
          <w:noProof/>
        </w:rPr>
        <w:t>12</w:t>
      </w:r>
      <w:r w:rsidR="00DD1BE8">
        <w:rPr>
          <w:noProof/>
        </w:rPr>
        <w:fldChar w:fldCharType="end"/>
      </w:r>
      <w:bookmarkEnd w:id="37"/>
      <w:r>
        <w:t>.</w:t>
      </w:r>
      <w:proofErr w:type="gramEnd"/>
      <w:r>
        <w:t xml:space="preserve"> Comparison of Louisiana to US rates of current drinking from 2001 to 2011 (Source: </w:t>
      </w:r>
      <w:r w:rsidR="00126D7D">
        <w:t>BRFSS</w:t>
      </w:r>
      <w:r>
        <w:t>)</w:t>
      </w:r>
      <w:bookmarkEnd w:id="38"/>
    </w:p>
    <w:p w:rsidR="00EE7EAE" w:rsidRDefault="00EE7EAE" w:rsidP="00EE7EAE">
      <w:pPr>
        <w:keepNext/>
      </w:pPr>
      <w:r>
        <w:rPr>
          <w:noProof/>
        </w:rPr>
        <w:drawing>
          <wp:inline distT="0" distB="0" distL="0" distR="0">
            <wp:extent cx="6076950" cy="4695933"/>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ult Current Drinking.jpg"/>
                    <pic:cNvPicPr/>
                  </pic:nvPicPr>
                  <pic:blipFill>
                    <a:blip r:embed="rId34" cstate="print">
                      <a:extLst>
                        <a:ext uri="{28A0092B-C50C-407E-A947-70E740481C1C}">
                          <a14:useLocalDpi xmlns:a14="http://schemas.microsoft.com/office/drawing/2010/main"/>
                        </a:ext>
                      </a:extLst>
                    </a:blip>
                    <a:stretch>
                      <a:fillRect/>
                    </a:stretch>
                  </pic:blipFill>
                  <pic:spPr>
                    <a:xfrm>
                      <a:off x="0" y="0"/>
                      <a:ext cx="6076950" cy="4695933"/>
                    </a:xfrm>
                    <a:prstGeom prst="rect">
                      <a:avLst/>
                    </a:prstGeom>
                  </pic:spPr>
                </pic:pic>
              </a:graphicData>
            </a:graphic>
          </wp:inline>
        </w:drawing>
      </w:r>
    </w:p>
    <w:p w:rsidR="00EE7EAE" w:rsidRPr="00006A43" w:rsidRDefault="00EE7EAE" w:rsidP="00EE7EAE">
      <w:pPr>
        <w:pStyle w:val="Caption"/>
      </w:pPr>
      <w:bookmarkStart w:id="39" w:name="_Ref356466762"/>
      <w:bookmarkStart w:id="40" w:name="_Toc362873976"/>
      <w:proofErr w:type="gramStart"/>
      <w:r>
        <w:t xml:space="preserve">Figure </w:t>
      </w:r>
      <w:r w:rsidR="00DD1BE8">
        <w:fldChar w:fldCharType="begin"/>
      </w:r>
      <w:r w:rsidR="00A034FF">
        <w:instrText xml:space="preserve"> SEQ Figure \* ARABIC </w:instrText>
      </w:r>
      <w:r w:rsidR="00DD1BE8">
        <w:fldChar w:fldCharType="separate"/>
      </w:r>
      <w:r w:rsidR="0002537D">
        <w:rPr>
          <w:noProof/>
        </w:rPr>
        <w:t>13</w:t>
      </w:r>
      <w:r w:rsidR="00DD1BE8">
        <w:rPr>
          <w:noProof/>
        </w:rPr>
        <w:fldChar w:fldCharType="end"/>
      </w:r>
      <w:bookmarkEnd w:id="39"/>
      <w:r>
        <w:t>.</w:t>
      </w:r>
      <w:proofErr w:type="gramEnd"/>
      <w:r>
        <w:t xml:space="preserve"> Rates of current drinking for all states in the US </w:t>
      </w:r>
      <w:r w:rsidR="00BC45C9">
        <w:t xml:space="preserve">(Source: BRFSS </w:t>
      </w:r>
      <w:r>
        <w:t>2011</w:t>
      </w:r>
      <w:r w:rsidR="00BC45C9">
        <w:t>)</w:t>
      </w:r>
      <w:bookmarkEnd w:id="40"/>
    </w:p>
    <w:p w:rsidR="00D0295F" w:rsidRPr="00D0295F" w:rsidRDefault="0098189A" w:rsidP="00D0295F">
      <w:r>
        <w:t>Similarly, the rates of binge drinking</w:t>
      </w:r>
      <w:r w:rsidR="00EE7EAE">
        <w:t xml:space="preserve"> (</w:t>
      </w:r>
      <w:r w:rsidR="00DD1BE8">
        <w:fldChar w:fldCharType="begin"/>
      </w:r>
      <w:r w:rsidR="00EE7EAE">
        <w:instrText xml:space="preserve"> REF _Ref356461316 \h </w:instrText>
      </w:r>
      <w:r w:rsidR="00DD1BE8">
        <w:fldChar w:fldCharType="separate"/>
      </w:r>
      <w:r w:rsidR="0002537D">
        <w:t xml:space="preserve">Figure </w:t>
      </w:r>
      <w:r w:rsidR="0002537D">
        <w:rPr>
          <w:noProof/>
        </w:rPr>
        <w:t>12</w:t>
      </w:r>
      <w:r w:rsidR="00DD1BE8">
        <w:fldChar w:fldCharType="end"/>
      </w:r>
      <w:r w:rsidR="00EE7EAE">
        <w:t>)</w:t>
      </w:r>
      <w:r>
        <w:t xml:space="preserve"> in Louisiana have increased to 16.1% in 2011 from 13.8% in 2001. The national rate has also increased: from 14.8% in 2001 to 18.3% in 2011. While the increase nationally </w:t>
      </w:r>
      <w:r>
        <w:lastRenderedPageBreak/>
        <w:t>is greater than in Louisiana, the rates both nationally and within</w:t>
      </w:r>
      <w:r w:rsidR="00EE7EAE">
        <w:t xml:space="preserve"> the</w:t>
      </w:r>
      <w:r>
        <w:t xml:space="preserve"> state have b</w:t>
      </w:r>
      <w:r w:rsidR="00EE7EAE">
        <w:t>e</w:t>
      </w:r>
      <w:r>
        <w:t>e</w:t>
      </w:r>
      <w:r w:rsidR="00EE7EAE">
        <w:t>n</w:t>
      </w:r>
      <w:r>
        <w:t xml:space="preserve"> relatively stable from 2001 to 2010. There is a substantial change </w:t>
      </w:r>
      <w:r w:rsidR="00EE7EAE">
        <w:t xml:space="preserve">nationally and in Louisiana </w:t>
      </w:r>
      <w:r>
        <w:t xml:space="preserve">in 2011. </w:t>
      </w:r>
      <w:r w:rsidR="00EE7EAE">
        <w:t xml:space="preserve"> </w:t>
      </w:r>
    </w:p>
    <w:p w:rsidR="0098189A" w:rsidRDefault="0049168C" w:rsidP="0098189A">
      <w:pPr>
        <w:keepNext/>
      </w:pPr>
      <w:r>
        <w:rPr>
          <w:noProof/>
        </w:rPr>
        <w:drawing>
          <wp:inline distT="0" distB="0" distL="0" distR="0">
            <wp:extent cx="5943600" cy="2164080"/>
            <wp:effectExtent l="0" t="0" r="0" b="762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9168C" w:rsidRDefault="0098189A" w:rsidP="0098189A">
      <w:pPr>
        <w:pStyle w:val="Caption"/>
      </w:pPr>
      <w:bookmarkStart w:id="41" w:name="_Toc362873977"/>
      <w:proofErr w:type="gramStart"/>
      <w:r>
        <w:t xml:space="preserve">Figure </w:t>
      </w:r>
      <w:r w:rsidR="00DD1BE8">
        <w:fldChar w:fldCharType="begin"/>
      </w:r>
      <w:r w:rsidR="00A034FF">
        <w:instrText xml:space="preserve"> SEQ Figure \* ARABIC </w:instrText>
      </w:r>
      <w:r w:rsidR="00DD1BE8">
        <w:fldChar w:fldCharType="separate"/>
      </w:r>
      <w:r w:rsidR="0002537D">
        <w:rPr>
          <w:noProof/>
        </w:rPr>
        <w:t>14</w:t>
      </w:r>
      <w:r w:rsidR="00DD1BE8">
        <w:rPr>
          <w:noProof/>
        </w:rPr>
        <w:fldChar w:fldCharType="end"/>
      </w:r>
      <w:r w:rsidRPr="00CC5040">
        <w:t>.</w:t>
      </w:r>
      <w:proofErr w:type="gramEnd"/>
      <w:r w:rsidRPr="00CC5040">
        <w:t xml:space="preserve"> Comparison of Louisiana to US rates of </w:t>
      </w:r>
      <w:r>
        <w:t>binge</w:t>
      </w:r>
      <w:r w:rsidRPr="00CC5040">
        <w:t xml:space="preserve"> drinking from 2001 to 2011 (Source: </w:t>
      </w:r>
      <w:r w:rsidR="00126D7D">
        <w:t>BRFSS</w:t>
      </w:r>
      <w:r w:rsidRPr="00CC5040">
        <w:t>)</w:t>
      </w:r>
      <w:bookmarkEnd w:id="41"/>
    </w:p>
    <w:p w:rsidR="00EE7EAE" w:rsidRDefault="00EE7EAE" w:rsidP="00EE7EAE">
      <w:r>
        <w:t>As seen in the rates of current drinking, the Louisiana rate for binge drinking (16.1%) is lower than the overall national rate (18.3%). This rate also places Louisiana in the bottom fourth when compared to all states</w:t>
      </w:r>
      <w:r w:rsidR="00585901">
        <w:t xml:space="preserve"> </w:t>
      </w:r>
      <w:r>
        <w:t>(</w:t>
      </w:r>
      <w:r w:rsidR="00DD1BE8">
        <w:fldChar w:fldCharType="begin"/>
      </w:r>
      <w:r w:rsidR="00585901">
        <w:instrText xml:space="preserve"> REF _Ref356467473 \h </w:instrText>
      </w:r>
      <w:r w:rsidR="00DD1BE8">
        <w:fldChar w:fldCharType="separate"/>
      </w:r>
      <w:r w:rsidR="0002537D">
        <w:t xml:space="preserve">Figure </w:t>
      </w:r>
      <w:r w:rsidR="0002537D">
        <w:rPr>
          <w:noProof/>
        </w:rPr>
        <w:t>15</w:t>
      </w:r>
      <w:r w:rsidR="00DD1BE8">
        <w:fldChar w:fldCharType="end"/>
      </w:r>
      <w:r>
        <w:t xml:space="preserve">). </w:t>
      </w:r>
    </w:p>
    <w:p w:rsidR="00EE7EAE" w:rsidRDefault="00EE7EAE" w:rsidP="00EE7EAE">
      <w:pPr>
        <w:keepNext/>
      </w:pPr>
      <w:r>
        <w:rPr>
          <w:noProof/>
        </w:rPr>
        <w:lastRenderedPageBreak/>
        <w:drawing>
          <wp:inline distT="0" distB="0" distL="0" distR="0">
            <wp:extent cx="5797296" cy="448056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ult Binge Drink.jpg"/>
                    <pic:cNvPicPr/>
                  </pic:nvPicPr>
                  <pic:blipFill>
                    <a:blip r:embed="rId36" cstate="print">
                      <a:extLst>
                        <a:ext uri="{28A0092B-C50C-407E-A947-70E740481C1C}">
                          <a14:useLocalDpi xmlns:a14="http://schemas.microsoft.com/office/drawing/2010/main"/>
                        </a:ext>
                      </a:extLst>
                    </a:blip>
                    <a:stretch>
                      <a:fillRect/>
                    </a:stretch>
                  </pic:blipFill>
                  <pic:spPr>
                    <a:xfrm>
                      <a:off x="0" y="0"/>
                      <a:ext cx="5797296" cy="4480560"/>
                    </a:xfrm>
                    <a:prstGeom prst="rect">
                      <a:avLst/>
                    </a:prstGeom>
                  </pic:spPr>
                </pic:pic>
              </a:graphicData>
            </a:graphic>
          </wp:inline>
        </w:drawing>
      </w:r>
    </w:p>
    <w:p w:rsidR="00EE7EAE" w:rsidRDefault="00EE7EAE" w:rsidP="00EE7EAE">
      <w:pPr>
        <w:pStyle w:val="Caption"/>
        <w:rPr>
          <w:noProof/>
        </w:rPr>
      </w:pPr>
      <w:bookmarkStart w:id="42" w:name="_Ref356467473"/>
      <w:bookmarkStart w:id="43" w:name="_Toc362873978"/>
      <w:proofErr w:type="gramStart"/>
      <w:r>
        <w:t xml:space="preserve">Figure </w:t>
      </w:r>
      <w:r w:rsidR="00DD1BE8">
        <w:fldChar w:fldCharType="begin"/>
      </w:r>
      <w:r w:rsidR="00A034FF">
        <w:instrText xml:space="preserve"> SEQ Figure \* ARABIC </w:instrText>
      </w:r>
      <w:r w:rsidR="00DD1BE8">
        <w:fldChar w:fldCharType="separate"/>
      </w:r>
      <w:r w:rsidR="0002537D">
        <w:rPr>
          <w:noProof/>
        </w:rPr>
        <w:t>15</w:t>
      </w:r>
      <w:r w:rsidR="00DD1BE8">
        <w:rPr>
          <w:noProof/>
        </w:rPr>
        <w:fldChar w:fldCharType="end"/>
      </w:r>
      <w:bookmarkEnd w:id="42"/>
      <w:r>
        <w:t>.</w:t>
      </w:r>
      <w:proofErr w:type="gramEnd"/>
      <w:r>
        <w:t xml:space="preserve"> Nationwide comparison of</w:t>
      </w:r>
      <w:r w:rsidR="00585901">
        <w:t xml:space="preserve"> adult</w:t>
      </w:r>
      <w:r>
        <w:t xml:space="preserve"> binge drinking rates </w:t>
      </w:r>
      <w:r w:rsidR="00BC45C9">
        <w:rPr>
          <w:noProof/>
        </w:rPr>
        <w:t xml:space="preserve">(Source: BRFSS </w:t>
      </w:r>
      <w:r>
        <w:rPr>
          <w:noProof/>
        </w:rPr>
        <w:t>2011</w:t>
      </w:r>
      <w:r w:rsidR="00BC45C9">
        <w:rPr>
          <w:noProof/>
        </w:rPr>
        <w:t>)</w:t>
      </w:r>
      <w:bookmarkEnd w:id="43"/>
    </w:p>
    <w:p w:rsidR="00F83B61" w:rsidRPr="00F83B61" w:rsidRDefault="00F83B61" w:rsidP="00F83B61">
      <w:r>
        <w:t>While the rates of drinking in Louisiana are generally lower than national rates, the rate of drinking and driving is higher (</w:t>
      </w:r>
      <w:r w:rsidR="00DD1BE8">
        <w:fldChar w:fldCharType="begin"/>
      </w:r>
      <w:r>
        <w:instrText xml:space="preserve"> REF _Ref356544927 \h </w:instrText>
      </w:r>
      <w:r w:rsidR="00DD1BE8">
        <w:fldChar w:fldCharType="separate"/>
      </w:r>
      <w:r w:rsidR="0002537D">
        <w:t xml:space="preserve">Table </w:t>
      </w:r>
      <w:r w:rsidR="0002537D">
        <w:rPr>
          <w:noProof/>
        </w:rPr>
        <w:t>3</w:t>
      </w:r>
      <w:r w:rsidR="00DD1BE8">
        <w:fldChar w:fldCharType="end"/>
      </w:r>
      <w:r>
        <w:t xml:space="preserve">). </w:t>
      </w:r>
      <w:r w:rsidR="00363320">
        <w:t xml:space="preserve">The percentage of </w:t>
      </w:r>
      <w:r>
        <w:t xml:space="preserve">Louisiana adults </w:t>
      </w:r>
      <w:r w:rsidR="00363320">
        <w:t xml:space="preserve">who </w:t>
      </w:r>
      <w:r>
        <w:t xml:space="preserve">reported that </w:t>
      </w:r>
      <w:r w:rsidR="004D54FD">
        <w:t xml:space="preserve">they </w:t>
      </w:r>
      <w:r>
        <w:t xml:space="preserve">have driven after having had too much to drink </w:t>
      </w:r>
      <w:r w:rsidR="00363320">
        <w:t>has</w:t>
      </w:r>
      <w:r w:rsidR="004D54FD">
        <w:t xml:space="preserve"> </w:t>
      </w:r>
      <w:r w:rsidR="00363320">
        <w:t xml:space="preserve">been </w:t>
      </w:r>
      <w:r w:rsidR="00BA099E">
        <w:t xml:space="preserve">consistently </w:t>
      </w:r>
      <w:r w:rsidR="004D54FD">
        <w:t xml:space="preserve">reported at </w:t>
      </w:r>
      <w:r>
        <w:t>higher rates than the nation over the past decade.</w:t>
      </w:r>
    </w:p>
    <w:p w:rsidR="00F83B61" w:rsidRDefault="00F83B61" w:rsidP="00F83B61">
      <w:pPr>
        <w:pStyle w:val="Caption"/>
        <w:keepNext/>
      </w:pPr>
      <w:bookmarkStart w:id="44" w:name="_Ref356544927"/>
      <w:proofErr w:type="gramStart"/>
      <w:r>
        <w:t xml:space="preserve">Table </w:t>
      </w:r>
      <w:r w:rsidR="00DD1BE8">
        <w:fldChar w:fldCharType="begin"/>
      </w:r>
      <w:r w:rsidR="00A034FF">
        <w:instrText xml:space="preserve"> SEQ Table \* ARABIC </w:instrText>
      </w:r>
      <w:r w:rsidR="00DD1BE8">
        <w:fldChar w:fldCharType="separate"/>
      </w:r>
      <w:r w:rsidR="0002537D">
        <w:rPr>
          <w:noProof/>
        </w:rPr>
        <w:t>3</w:t>
      </w:r>
      <w:r w:rsidR="00DD1BE8">
        <w:rPr>
          <w:noProof/>
        </w:rPr>
        <w:fldChar w:fldCharType="end"/>
      </w:r>
      <w:bookmarkEnd w:id="44"/>
      <w:r>
        <w:t>.</w:t>
      </w:r>
      <w:proofErr w:type="gramEnd"/>
      <w:r>
        <w:t xml:space="preserve"> </w:t>
      </w:r>
      <w:r w:rsidRPr="00655C4B">
        <w:t>Percentage of adults reporting driving after having perhaps too much to drink in the past 30 days</w:t>
      </w:r>
      <w:r>
        <w:t xml:space="preserve"> from 2002 through 2010.</w:t>
      </w:r>
      <w:r>
        <w:rPr>
          <w:noProof/>
        </w:rPr>
        <w:t xml:space="preserve"> (Source</w:t>
      </w:r>
      <w:r w:rsidR="002D25D7">
        <w:rPr>
          <w:noProof/>
        </w:rPr>
        <w:t>:</w:t>
      </w:r>
      <w:r>
        <w:rPr>
          <w:noProof/>
        </w:rPr>
        <w:t xml:space="preserve"> BRFSS)</w:t>
      </w:r>
    </w:p>
    <w:tbl>
      <w:tblPr>
        <w:tblW w:w="5000" w:type="pct"/>
        <w:tblCellMar>
          <w:left w:w="0" w:type="dxa"/>
          <w:right w:w="0" w:type="dxa"/>
        </w:tblCellMar>
        <w:tblLook w:val="04A0" w:firstRow="1" w:lastRow="0" w:firstColumn="1" w:lastColumn="0" w:noHBand="0" w:noVBand="1"/>
      </w:tblPr>
      <w:tblGrid>
        <w:gridCol w:w="4613"/>
        <w:gridCol w:w="1071"/>
        <w:gridCol w:w="1071"/>
        <w:gridCol w:w="1071"/>
        <w:gridCol w:w="1070"/>
        <w:gridCol w:w="1070"/>
      </w:tblGrid>
      <w:tr w:rsidR="00F83B61" w:rsidTr="00F83B61">
        <w:trPr>
          <w:trHeight w:val="315"/>
        </w:trPr>
        <w:tc>
          <w:tcPr>
            <w:tcW w:w="2314" w:type="pct"/>
            <w:tcBorders>
              <w:top w:val="single" w:sz="4" w:space="0" w:color="auto"/>
              <w:left w:val="single" w:sz="4" w:space="0" w:color="auto"/>
              <w:bottom w:val="single" w:sz="4" w:space="0" w:color="auto"/>
              <w:right w:val="single" w:sz="4" w:space="0" w:color="auto"/>
            </w:tcBorders>
            <w:shd w:val="clear" w:color="000000" w:fill="00457C"/>
            <w:noWrap/>
            <w:tcMar>
              <w:top w:w="15" w:type="dxa"/>
              <w:left w:w="15" w:type="dxa"/>
              <w:bottom w:w="0" w:type="dxa"/>
              <w:right w:w="15" w:type="dxa"/>
            </w:tcMar>
            <w:vAlign w:val="bottom"/>
            <w:hideMark/>
          </w:tcPr>
          <w:p w:rsidR="00F83B61" w:rsidRDefault="00F83B61" w:rsidP="00E66C49">
            <w:pPr>
              <w:spacing w:after="0"/>
              <w:rPr>
                <w:b/>
                <w:bCs/>
                <w:color w:val="FFFFFF"/>
                <w:sz w:val="20"/>
                <w:szCs w:val="20"/>
              </w:rPr>
            </w:pPr>
            <w:r>
              <w:rPr>
                <w:b/>
                <w:bCs/>
                <w:color w:val="FFFFFF"/>
                <w:sz w:val="20"/>
                <w:szCs w:val="20"/>
              </w:rPr>
              <w:t> Drinking and Driving</w:t>
            </w:r>
          </w:p>
        </w:tc>
        <w:tc>
          <w:tcPr>
            <w:tcW w:w="537" w:type="pct"/>
            <w:tcBorders>
              <w:top w:val="single" w:sz="4" w:space="0" w:color="auto"/>
              <w:left w:val="nil"/>
              <w:bottom w:val="single" w:sz="4" w:space="0" w:color="auto"/>
              <w:right w:val="single" w:sz="4" w:space="0" w:color="auto"/>
            </w:tcBorders>
            <w:shd w:val="clear" w:color="000000" w:fill="00457C"/>
            <w:noWrap/>
            <w:tcMar>
              <w:top w:w="15" w:type="dxa"/>
              <w:left w:w="15" w:type="dxa"/>
              <w:bottom w:w="0" w:type="dxa"/>
              <w:right w:w="15" w:type="dxa"/>
            </w:tcMar>
            <w:vAlign w:val="bottom"/>
            <w:hideMark/>
          </w:tcPr>
          <w:p w:rsidR="00F83B61" w:rsidRDefault="00F83B61" w:rsidP="00E66C49">
            <w:pPr>
              <w:spacing w:after="0"/>
              <w:jc w:val="center"/>
              <w:rPr>
                <w:b/>
                <w:bCs/>
                <w:color w:val="FFFFFF"/>
                <w:sz w:val="20"/>
                <w:szCs w:val="20"/>
              </w:rPr>
            </w:pPr>
            <w:r>
              <w:rPr>
                <w:b/>
                <w:bCs/>
                <w:color w:val="FFFFFF"/>
                <w:sz w:val="20"/>
                <w:szCs w:val="20"/>
              </w:rPr>
              <w:t>2002</w:t>
            </w:r>
          </w:p>
        </w:tc>
        <w:tc>
          <w:tcPr>
            <w:tcW w:w="537" w:type="pct"/>
            <w:tcBorders>
              <w:top w:val="single" w:sz="4" w:space="0" w:color="auto"/>
              <w:left w:val="nil"/>
              <w:bottom w:val="single" w:sz="4" w:space="0" w:color="auto"/>
              <w:right w:val="single" w:sz="4" w:space="0" w:color="auto"/>
            </w:tcBorders>
            <w:shd w:val="clear" w:color="000000" w:fill="00457C"/>
            <w:noWrap/>
            <w:tcMar>
              <w:top w:w="15" w:type="dxa"/>
              <w:left w:w="15" w:type="dxa"/>
              <w:bottom w:w="0" w:type="dxa"/>
              <w:right w:w="15" w:type="dxa"/>
            </w:tcMar>
            <w:vAlign w:val="bottom"/>
            <w:hideMark/>
          </w:tcPr>
          <w:p w:rsidR="00F83B61" w:rsidRDefault="00F83B61" w:rsidP="00E66C49">
            <w:pPr>
              <w:spacing w:after="0"/>
              <w:jc w:val="center"/>
              <w:rPr>
                <w:b/>
                <w:bCs/>
                <w:color w:val="FFFFFF"/>
                <w:sz w:val="20"/>
                <w:szCs w:val="20"/>
              </w:rPr>
            </w:pPr>
            <w:r>
              <w:rPr>
                <w:b/>
                <w:bCs/>
                <w:color w:val="FFFFFF"/>
                <w:sz w:val="20"/>
                <w:szCs w:val="20"/>
              </w:rPr>
              <w:t>2004</w:t>
            </w:r>
          </w:p>
        </w:tc>
        <w:tc>
          <w:tcPr>
            <w:tcW w:w="537" w:type="pct"/>
            <w:tcBorders>
              <w:top w:val="single" w:sz="4" w:space="0" w:color="auto"/>
              <w:left w:val="nil"/>
              <w:bottom w:val="single" w:sz="4" w:space="0" w:color="auto"/>
              <w:right w:val="single" w:sz="4" w:space="0" w:color="auto"/>
            </w:tcBorders>
            <w:shd w:val="clear" w:color="000000" w:fill="00457C"/>
            <w:noWrap/>
            <w:tcMar>
              <w:top w:w="15" w:type="dxa"/>
              <w:left w:w="15" w:type="dxa"/>
              <w:bottom w:w="0" w:type="dxa"/>
              <w:right w:w="15" w:type="dxa"/>
            </w:tcMar>
            <w:vAlign w:val="bottom"/>
            <w:hideMark/>
          </w:tcPr>
          <w:p w:rsidR="00F83B61" w:rsidRDefault="00F83B61" w:rsidP="00E66C49">
            <w:pPr>
              <w:spacing w:after="0"/>
              <w:jc w:val="center"/>
              <w:rPr>
                <w:b/>
                <w:bCs/>
                <w:color w:val="FFFFFF"/>
                <w:sz w:val="20"/>
                <w:szCs w:val="20"/>
              </w:rPr>
            </w:pPr>
            <w:r>
              <w:rPr>
                <w:b/>
                <w:bCs/>
                <w:color w:val="FFFFFF"/>
                <w:sz w:val="20"/>
                <w:szCs w:val="20"/>
              </w:rPr>
              <w:t>2006</w:t>
            </w:r>
          </w:p>
        </w:tc>
        <w:tc>
          <w:tcPr>
            <w:tcW w:w="537" w:type="pct"/>
            <w:tcBorders>
              <w:top w:val="single" w:sz="4" w:space="0" w:color="auto"/>
              <w:left w:val="nil"/>
              <w:bottom w:val="single" w:sz="4" w:space="0" w:color="auto"/>
              <w:right w:val="single" w:sz="4" w:space="0" w:color="auto"/>
            </w:tcBorders>
            <w:shd w:val="clear" w:color="000000" w:fill="00457C"/>
            <w:noWrap/>
            <w:tcMar>
              <w:top w:w="15" w:type="dxa"/>
              <w:left w:w="15" w:type="dxa"/>
              <w:bottom w:w="0" w:type="dxa"/>
              <w:right w:w="15" w:type="dxa"/>
            </w:tcMar>
            <w:vAlign w:val="bottom"/>
            <w:hideMark/>
          </w:tcPr>
          <w:p w:rsidR="00F83B61" w:rsidRDefault="00F83B61" w:rsidP="00E66C49">
            <w:pPr>
              <w:spacing w:after="0"/>
              <w:jc w:val="center"/>
              <w:rPr>
                <w:b/>
                <w:bCs/>
                <w:color w:val="FFFFFF"/>
                <w:sz w:val="20"/>
                <w:szCs w:val="20"/>
              </w:rPr>
            </w:pPr>
            <w:r>
              <w:rPr>
                <w:b/>
                <w:bCs/>
                <w:color w:val="FFFFFF"/>
                <w:sz w:val="20"/>
                <w:szCs w:val="20"/>
              </w:rPr>
              <w:t>2008</w:t>
            </w:r>
          </w:p>
        </w:tc>
        <w:tc>
          <w:tcPr>
            <w:tcW w:w="537" w:type="pct"/>
            <w:tcBorders>
              <w:top w:val="single" w:sz="4" w:space="0" w:color="auto"/>
              <w:left w:val="nil"/>
              <w:bottom w:val="single" w:sz="4" w:space="0" w:color="auto"/>
              <w:right w:val="single" w:sz="4" w:space="0" w:color="auto"/>
            </w:tcBorders>
            <w:shd w:val="clear" w:color="000000" w:fill="00457C"/>
            <w:noWrap/>
            <w:tcMar>
              <w:top w:w="15" w:type="dxa"/>
              <w:left w:w="15" w:type="dxa"/>
              <w:bottom w:w="0" w:type="dxa"/>
              <w:right w:w="15" w:type="dxa"/>
            </w:tcMar>
            <w:vAlign w:val="bottom"/>
            <w:hideMark/>
          </w:tcPr>
          <w:p w:rsidR="00F83B61" w:rsidRDefault="00F83B61" w:rsidP="00E66C49">
            <w:pPr>
              <w:spacing w:after="0"/>
              <w:jc w:val="center"/>
              <w:rPr>
                <w:b/>
                <w:bCs/>
                <w:color w:val="FFFFFF"/>
                <w:sz w:val="20"/>
                <w:szCs w:val="20"/>
              </w:rPr>
            </w:pPr>
            <w:r>
              <w:rPr>
                <w:b/>
                <w:bCs/>
                <w:color w:val="FFFFFF"/>
                <w:sz w:val="20"/>
                <w:szCs w:val="20"/>
              </w:rPr>
              <w:t>2010</w:t>
            </w:r>
          </w:p>
        </w:tc>
      </w:tr>
      <w:tr w:rsidR="00F83B61" w:rsidTr="00F83B61">
        <w:trPr>
          <w:trHeight w:val="315"/>
        </w:trPr>
        <w:tc>
          <w:tcPr>
            <w:tcW w:w="231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83B61" w:rsidRDefault="00F83B61" w:rsidP="00E66C49">
            <w:pPr>
              <w:spacing w:after="0"/>
              <w:rPr>
                <w:color w:val="000000"/>
                <w:sz w:val="20"/>
                <w:szCs w:val="20"/>
              </w:rPr>
            </w:pPr>
            <w:r>
              <w:rPr>
                <w:color w:val="000000"/>
                <w:sz w:val="20"/>
                <w:szCs w:val="20"/>
              </w:rPr>
              <w:t>Louisiana</w:t>
            </w:r>
          </w:p>
        </w:tc>
        <w:tc>
          <w:tcPr>
            <w:tcW w:w="53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83B61" w:rsidRDefault="00F83B61" w:rsidP="00E66C49">
            <w:pPr>
              <w:spacing w:after="0"/>
              <w:jc w:val="center"/>
              <w:rPr>
                <w:color w:val="000000"/>
                <w:sz w:val="20"/>
                <w:szCs w:val="20"/>
              </w:rPr>
            </w:pPr>
            <w:r>
              <w:rPr>
                <w:color w:val="000000"/>
                <w:sz w:val="20"/>
                <w:szCs w:val="20"/>
              </w:rPr>
              <w:t>2.4</w:t>
            </w:r>
          </w:p>
        </w:tc>
        <w:tc>
          <w:tcPr>
            <w:tcW w:w="53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83B61" w:rsidRDefault="00F83B61" w:rsidP="00E66C49">
            <w:pPr>
              <w:spacing w:after="0"/>
              <w:jc w:val="center"/>
              <w:rPr>
                <w:color w:val="000000"/>
                <w:sz w:val="20"/>
                <w:szCs w:val="20"/>
              </w:rPr>
            </w:pPr>
            <w:r>
              <w:rPr>
                <w:color w:val="000000"/>
                <w:sz w:val="20"/>
                <w:szCs w:val="20"/>
              </w:rPr>
              <w:t>2.5</w:t>
            </w:r>
          </w:p>
        </w:tc>
        <w:tc>
          <w:tcPr>
            <w:tcW w:w="53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83B61" w:rsidRDefault="00F83B61" w:rsidP="00E66C49">
            <w:pPr>
              <w:spacing w:after="0"/>
              <w:jc w:val="center"/>
              <w:rPr>
                <w:color w:val="000000"/>
                <w:sz w:val="20"/>
                <w:szCs w:val="20"/>
              </w:rPr>
            </w:pPr>
            <w:r>
              <w:rPr>
                <w:color w:val="000000"/>
                <w:sz w:val="20"/>
                <w:szCs w:val="20"/>
              </w:rPr>
              <w:t>3.3</w:t>
            </w:r>
          </w:p>
        </w:tc>
        <w:tc>
          <w:tcPr>
            <w:tcW w:w="53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83B61" w:rsidRDefault="00F83B61" w:rsidP="00E66C49">
            <w:pPr>
              <w:spacing w:after="0"/>
              <w:jc w:val="center"/>
              <w:rPr>
                <w:color w:val="000000"/>
                <w:sz w:val="20"/>
                <w:szCs w:val="20"/>
              </w:rPr>
            </w:pPr>
            <w:r>
              <w:rPr>
                <w:color w:val="000000"/>
                <w:sz w:val="20"/>
                <w:szCs w:val="20"/>
              </w:rPr>
              <w:t>2.6</w:t>
            </w:r>
          </w:p>
        </w:tc>
        <w:tc>
          <w:tcPr>
            <w:tcW w:w="53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83B61" w:rsidRDefault="00F83B61" w:rsidP="00E66C49">
            <w:pPr>
              <w:spacing w:after="0"/>
              <w:jc w:val="center"/>
              <w:rPr>
                <w:color w:val="000000"/>
                <w:sz w:val="20"/>
                <w:szCs w:val="20"/>
              </w:rPr>
            </w:pPr>
            <w:r>
              <w:rPr>
                <w:color w:val="000000"/>
                <w:sz w:val="20"/>
                <w:szCs w:val="20"/>
              </w:rPr>
              <w:t>2.8</w:t>
            </w:r>
          </w:p>
        </w:tc>
      </w:tr>
      <w:tr w:rsidR="00F83B61" w:rsidTr="00F83B61">
        <w:trPr>
          <w:trHeight w:val="315"/>
        </w:trPr>
        <w:tc>
          <w:tcPr>
            <w:tcW w:w="231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83B61" w:rsidRDefault="00F83B61" w:rsidP="00E66C49">
            <w:pPr>
              <w:spacing w:after="0"/>
              <w:rPr>
                <w:color w:val="000000"/>
                <w:sz w:val="20"/>
                <w:szCs w:val="20"/>
              </w:rPr>
            </w:pPr>
            <w:r>
              <w:rPr>
                <w:color w:val="000000"/>
                <w:sz w:val="20"/>
                <w:szCs w:val="20"/>
              </w:rPr>
              <w:t>United States</w:t>
            </w:r>
          </w:p>
        </w:tc>
        <w:tc>
          <w:tcPr>
            <w:tcW w:w="53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83B61" w:rsidRDefault="00F83B61" w:rsidP="00E66C49">
            <w:pPr>
              <w:spacing w:after="0"/>
              <w:jc w:val="center"/>
              <w:rPr>
                <w:color w:val="000000"/>
                <w:sz w:val="20"/>
                <w:szCs w:val="20"/>
              </w:rPr>
            </w:pPr>
            <w:r>
              <w:rPr>
                <w:color w:val="000000"/>
                <w:sz w:val="20"/>
                <w:szCs w:val="20"/>
              </w:rPr>
              <w:t>2.3</w:t>
            </w:r>
          </w:p>
        </w:tc>
        <w:tc>
          <w:tcPr>
            <w:tcW w:w="53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83B61" w:rsidRDefault="00F83B61" w:rsidP="00E66C49">
            <w:pPr>
              <w:spacing w:after="0"/>
              <w:jc w:val="center"/>
              <w:rPr>
                <w:color w:val="000000"/>
                <w:sz w:val="20"/>
                <w:szCs w:val="20"/>
              </w:rPr>
            </w:pPr>
            <w:r>
              <w:rPr>
                <w:color w:val="000000"/>
                <w:sz w:val="20"/>
                <w:szCs w:val="20"/>
              </w:rPr>
              <w:t>2.0</w:t>
            </w:r>
          </w:p>
        </w:tc>
        <w:tc>
          <w:tcPr>
            <w:tcW w:w="53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83B61" w:rsidRDefault="00F83B61" w:rsidP="00E66C49">
            <w:pPr>
              <w:spacing w:after="0"/>
              <w:jc w:val="center"/>
              <w:rPr>
                <w:color w:val="000000"/>
                <w:sz w:val="20"/>
                <w:szCs w:val="20"/>
              </w:rPr>
            </w:pPr>
            <w:r>
              <w:rPr>
                <w:color w:val="000000"/>
                <w:sz w:val="20"/>
                <w:szCs w:val="20"/>
              </w:rPr>
              <w:t>2.7</w:t>
            </w:r>
          </w:p>
        </w:tc>
        <w:tc>
          <w:tcPr>
            <w:tcW w:w="53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83B61" w:rsidRDefault="00F83B61" w:rsidP="00E66C49">
            <w:pPr>
              <w:spacing w:after="0"/>
              <w:jc w:val="center"/>
              <w:rPr>
                <w:color w:val="000000"/>
                <w:sz w:val="20"/>
                <w:szCs w:val="20"/>
              </w:rPr>
            </w:pPr>
            <w:r>
              <w:rPr>
                <w:color w:val="000000"/>
                <w:sz w:val="20"/>
                <w:szCs w:val="20"/>
              </w:rPr>
              <w:t>2.1</w:t>
            </w:r>
          </w:p>
        </w:tc>
        <w:tc>
          <w:tcPr>
            <w:tcW w:w="53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F83B61" w:rsidRDefault="00F83B61" w:rsidP="00E66C49">
            <w:pPr>
              <w:spacing w:after="0"/>
              <w:jc w:val="center"/>
              <w:rPr>
                <w:color w:val="000000"/>
                <w:sz w:val="20"/>
                <w:szCs w:val="20"/>
              </w:rPr>
            </w:pPr>
            <w:r>
              <w:rPr>
                <w:color w:val="000000"/>
                <w:sz w:val="20"/>
                <w:szCs w:val="20"/>
              </w:rPr>
              <w:t>1.9</w:t>
            </w:r>
          </w:p>
        </w:tc>
      </w:tr>
    </w:tbl>
    <w:p w:rsidR="00F83B61" w:rsidRDefault="00F83B61" w:rsidP="00980032"/>
    <w:p w:rsidR="00980032" w:rsidRPr="00980032" w:rsidRDefault="00980032" w:rsidP="00980032">
      <w:r>
        <w:t xml:space="preserve">One final measure may indicate that there is some improvement in the rate of alcohol dependence amongst the adult population in Louisiana. Between 2003 and 2009 there was a 1% decrease in the rate of adults identified as dependent on alcohol according to the National Survey on Drug </w:t>
      </w:r>
      <w:r w:rsidR="00491706">
        <w:t>U</w:t>
      </w:r>
      <w:r>
        <w:t>se and Health</w:t>
      </w:r>
      <w:r w:rsidR="00B42AD8">
        <w:t xml:space="preserve"> (NSDUH), see </w:t>
      </w:r>
      <w:r w:rsidR="00DD1BE8">
        <w:fldChar w:fldCharType="begin"/>
      </w:r>
      <w:r>
        <w:instrText xml:space="preserve"> REF _Ref356467901 \h </w:instrText>
      </w:r>
      <w:r w:rsidR="00DD1BE8">
        <w:fldChar w:fldCharType="separate"/>
      </w:r>
      <w:r w:rsidR="0002537D">
        <w:t xml:space="preserve">Figure </w:t>
      </w:r>
      <w:r w:rsidR="0002537D">
        <w:rPr>
          <w:noProof/>
        </w:rPr>
        <w:t>16</w:t>
      </w:r>
      <w:r w:rsidR="00DD1BE8">
        <w:fldChar w:fldCharType="end"/>
      </w:r>
      <w:r>
        <w:t xml:space="preserve">.  While there was a small (0.2%) decrease in the national rate, the change in Louisiana brought the state from being higher than the national rate in 2003 to being lower than the nation by 2009. </w:t>
      </w:r>
    </w:p>
    <w:p w:rsidR="0098189A" w:rsidRDefault="0049168C" w:rsidP="0098189A">
      <w:pPr>
        <w:keepNext/>
      </w:pPr>
      <w:r>
        <w:rPr>
          <w:noProof/>
        </w:rPr>
        <w:lastRenderedPageBreak/>
        <w:drawing>
          <wp:inline distT="0" distB="0" distL="0" distR="0">
            <wp:extent cx="5943600" cy="2377440"/>
            <wp:effectExtent l="0" t="0" r="0" b="381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9168C" w:rsidRDefault="0098189A" w:rsidP="0098189A">
      <w:pPr>
        <w:pStyle w:val="Caption"/>
      </w:pPr>
      <w:bookmarkStart w:id="45" w:name="_Ref356467901"/>
      <w:bookmarkStart w:id="46" w:name="_Toc362873979"/>
      <w:proofErr w:type="gramStart"/>
      <w:r>
        <w:t xml:space="preserve">Figure </w:t>
      </w:r>
      <w:r w:rsidR="00DD1BE8">
        <w:fldChar w:fldCharType="begin"/>
      </w:r>
      <w:r w:rsidR="00A034FF">
        <w:instrText xml:space="preserve"> SEQ Figure \* ARABIC </w:instrText>
      </w:r>
      <w:r w:rsidR="00DD1BE8">
        <w:fldChar w:fldCharType="separate"/>
      </w:r>
      <w:r w:rsidR="0002537D">
        <w:rPr>
          <w:noProof/>
        </w:rPr>
        <w:t>16</w:t>
      </w:r>
      <w:r w:rsidR="00DD1BE8">
        <w:rPr>
          <w:noProof/>
        </w:rPr>
        <w:fldChar w:fldCharType="end"/>
      </w:r>
      <w:bookmarkEnd w:id="45"/>
      <w:r>
        <w:t>.</w:t>
      </w:r>
      <w:proofErr w:type="gramEnd"/>
      <w:r>
        <w:t xml:space="preserve"> Percentage o</w:t>
      </w:r>
      <w:r w:rsidR="00E75347">
        <w:t>f</w:t>
      </w:r>
      <w:r>
        <w:t xml:space="preserve"> individuals that meet the criteria for being </w:t>
      </w:r>
      <w:r w:rsidR="00E75347">
        <w:t>classified as</w:t>
      </w:r>
      <w:r>
        <w:t xml:space="preserve"> abus</w:t>
      </w:r>
      <w:r w:rsidR="00E75347">
        <w:t>ing</w:t>
      </w:r>
      <w:r>
        <w:t xml:space="preserve"> or dependent upon alcohol (Source: </w:t>
      </w:r>
      <w:r w:rsidR="007C3CBA">
        <w:t>NSDUH</w:t>
      </w:r>
      <w:r>
        <w:t>)</w:t>
      </w:r>
      <w:bookmarkEnd w:id="46"/>
    </w:p>
    <w:p w:rsidR="00AA671F" w:rsidRDefault="00AA671F"/>
    <w:p w:rsidR="00E16DA3" w:rsidRDefault="00AA671F">
      <w:pPr>
        <w:rPr>
          <w:b/>
          <w:sz w:val="24"/>
          <w:szCs w:val="24"/>
        </w:rPr>
      </w:pPr>
      <w:r>
        <w:t xml:space="preserve"> </w:t>
      </w:r>
      <w:r w:rsidR="00E16DA3">
        <w:br w:type="page"/>
      </w:r>
    </w:p>
    <w:p w:rsidR="002C6C72" w:rsidRDefault="002C6C72" w:rsidP="006D1A5D">
      <w:pPr>
        <w:pStyle w:val="Heading2"/>
      </w:pPr>
      <w:bookmarkStart w:id="47" w:name="_Toc362873949"/>
      <w:r>
        <w:lastRenderedPageBreak/>
        <w:t>Tobacco Indicators</w:t>
      </w:r>
      <w:bookmarkEnd w:id="47"/>
    </w:p>
    <w:p w:rsidR="0049168C" w:rsidRDefault="00E66C49" w:rsidP="006D1A5D">
      <w:r>
        <w:t xml:space="preserve">Particularly amongst youth and young adults, the rate of cigarette use has been decreasing over the last 10 years. </w:t>
      </w:r>
      <w:r w:rsidR="00FF0B98">
        <w:t xml:space="preserve"> There has been a 6% decrease in cigarette use within the last 30 days for 12</w:t>
      </w:r>
      <w:r w:rsidR="00FF0B98" w:rsidRPr="00FF0B98">
        <w:rPr>
          <w:vertAlign w:val="superscript"/>
        </w:rPr>
        <w:t>th</w:t>
      </w:r>
      <w:r w:rsidR="00FF0B98">
        <w:t xml:space="preserve"> grade students and the rate of use amongst 6</w:t>
      </w:r>
      <w:r w:rsidR="00FF0B98" w:rsidRPr="00FF0B98">
        <w:rPr>
          <w:vertAlign w:val="superscript"/>
        </w:rPr>
        <w:t>th</w:t>
      </w:r>
      <w:r w:rsidR="00FF0B98">
        <w:t>, 8</w:t>
      </w:r>
      <w:r w:rsidR="00FF0B98" w:rsidRPr="00FF0B98">
        <w:rPr>
          <w:vertAlign w:val="superscript"/>
        </w:rPr>
        <w:t>th</w:t>
      </w:r>
      <w:r w:rsidR="00FF0B98">
        <w:t>, and 10</w:t>
      </w:r>
      <w:r w:rsidR="00FF0B98" w:rsidRPr="00FF0B98">
        <w:rPr>
          <w:vertAlign w:val="superscript"/>
        </w:rPr>
        <w:t>th</w:t>
      </w:r>
      <w:r w:rsidR="00FF0B98">
        <w:t xml:space="preserve"> graders has decreased even more. While the data on young adults is more limited, there is an almost 4% decrease in regular tobacco use and a 3% decrease in 30-day use as reported in the latest CORE </w:t>
      </w:r>
      <w:r w:rsidR="004D54FD">
        <w:t>Alcohol and Drug S</w:t>
      </w:r>
      <w:r w:rsidR="00FF0B98">
        <w:t xml:space="preserve">urvey. Adult rates had been steadily decreasing over the last 10 years, but the latest results from the BRFSS indicate a recent increase to nearly the second highest rate reported since 2001. There has also been a slight decrease in the reported lung cancer rates in Louisiana, but given the typical lag between cigarette use and the appearance of lung cancer this is likely </w:t>
      </w:r>
      <w:r w:rsidR="00F62BE0">
        <w:t>more closely related</w:t>
      </w:r>
      <w:r w:rsidR="00FF0B98">
        <w:t xml:space="preserve"> to earlier decreases in tobacco use.</w:t>
      </w:r>
    </w:p>
    <w:p w:rsidR="007E2632" w:rsidRDefault="007E2632" w:rsidP="007E2632">
      <w:pPr>
        <w:pStyle w:val="Heading3"/>
      </w:pPr>
      <w:bookmarkStart w:id="48" w:name="_Toc362873950"/>
      <w:r>
        <w:t>Youth Tobacco Indicators</w:t>
      </w:r>
      <w:bookmarkEnd w:id="48"/>
    </w:p>
    <w:p w:rsidR="00F62BE0" w:rsidRDefault="00C255D8" w:rsidP="00F62BE0">
      <w:r>
        <w:t xml:space="preserve">As shown in </w:t>
      </w:r>
      <w:r w:rsidR="00DD1BE8">
        <w:fldChar w:fldCharType="begin"/>
      </w:r>
      <w:r>
        <w:instrText xml:space="preserve"> REF _Ref356817285 \h </w:instrText>
      </w:r>
      <w:r w:rsidR="00DD1BE8">
        <w:fldChar w:fldCharType="separate"/>
      </w:r>
      <w:r w:rsidR="0002537D">
        <w:t xml:space="preserve">Figure </w:t>
      </w:r>
      <w:r w:rsidR="0002537D">
        <w:rPr>
          <w:noProof/>
        </w:rPr>
        <w:t>17</w:t>
      </w:r>
      <w:r w:rsidR="00DD1BE8">
        <w:fldChar w:fldCharType="end"/>
      </w:r>
      <w:r>
        <w:t>, there has been a steady decrease for all grades survey in the CCYS in the use of cigarettes since 2002. This trend is also evident in national rates of youth smoking and Louisiana’s rates are very close to them (e.g., 19.7% in LA 12</w:t>
      </w:r>
      <w:r w:rsidRPr="00C255D8">
        <w:rPr>
          <w:vertAlign w:val="superscript"/>
        </w:rPr>
        <w:t>th</w:t>
      </w:r>
      <w:r>
        <w:t xml:space="preserve"> graders vs. 19.2% nationally (MTF)). </w:t>
      </w:r>
    </w:p>
    <w:p w:rsidR="006735F8" w:rsidRDefault="006735F8" w:rsidP="00F62BE0">
      <w:r>
        <w:rPr>
          <w:noProof/>
        </w:rPr>
        <w:drawing>
          <wp:inline distT="0" distB="0" distL="0" distR="0">
            <wp:extent cx="5943600" cy="3251200"/>
            <wp:effectExtent l="0" t="0" r="0" b="635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49168C" w:rsidRDefault="001C41D6" w:rsidP="001C41D6">
      <w:pPr>
        <w:pStyle w:val="Caption"/>
      </w:pPr>
      <w:bookmarkStart w:id="49" w:name="_Ref356817285"/>
      <w:bookmarkStart w:id="50" w:name="_Toc362873980"/>
      <w:r>
        <w:t xml:space="preserve">Figure </w:t>
      </w:r>
      <w:r w:rsidR="00DD1BE8">
        <w:fldChar w:fldCharType="begin"/>
      </w:r>
      <w:r w:rsidR="00A034FF">
        <w:instrText xml:space="preserve"> SEQ Figure \* ARABIC </w:instrText>
      </w:r>
      <w:r w:rsidR="00DD1BE8">
        <w:fldChar w:fldCharType="separate"/>
      </w:r>
      <w:r w:rsidR="0002537D">
        <w:rPr>
          <w:noProof/>
        </w:rPr>
        <w:t>17</w:t>
      </w:r>
      <w:r w:rsidR="00DD1BE8">
        <w:rPr>
          <w:noProof/>
        </w:rPr>
        <w:fldChar w:fldCharType="end"/>
      </w:r>
      <w:bookmarkEnd w:id="49"/>
      <w:r>
        <w:t xml:space="preserve">: Percentage of youth reporting </w:t>
      </w:r>
      <w:r w:rsidR="00AA671F">
        <w:t>cigarette</w:t>
      </w:r>
      <w:r>
        <w:t xml:space="preserve"> use within th</w:t>
      </w:r>
      <w:r w:rsidR="006735F8">
        <w:t>e last 30 days from 2002 to 2012</w:t>
      </w:r>
      <w:r>
        <w:t xml:space="preserve"> (Source: CCYS)</w:t>
      </w:r>
      <w:bookmarkEnd w:id="50"/>
    </w:p>
    <w:p w:rsidR="00207DD3" w:rsidRDefault="008F6980" w:rsidP="006D1A5D">
      <w:r>
        <w:t xml:space="preserve">The maps in </w:t>
      </w:r>
      <w:r w:rsidR="00DD1BE8">
        <w:fldChar w:fldCharType="begin"/>
      </w:r>
      <w:r>
        <w:instrText xml:space="preserve"> REF _Ref356817649 \h </w:instrText>
      </w:r>
      <w:r w:rsidR="00DD1BE8">
        <w:fldChar w:fldCharType="separate"/>
      </w:r>
      <w:r w:rsidR="0002537D">
        <w:t xml:space="preserve">Figure </w:t>
      </w:r>
      <w:r w:rsidR="0002537D">
        <w:rPr>
          <w:noProof/>
        </w:rPr>
        <w:t>18</w:t>
      </w:r>
      <w:r w:rsidR="00DD1BE8">
        <w:fldChar w:fldCharType="end"/>
      </w:r>
      <w:r>
        <w:t xml:space="preserve"> indicate that the rates vary across the state being fairly evenly distributed across the state. Rates do appear to be higher in more rural areas as most of the largest metropolitan areas in Louisiana appear to have rates that that fall into the lower two quartiles. There is a long history of research documenting higher rates of tobacco use in rural areas.</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5076"/>
        <w:gridCol w:w="5076"/>
      </w:tblGrid>
      <w:tr w:rsidR="00207DD3" w:rsidTr="00207DD3">
        <w:tc>
          <w:tcPr>
            <w:tcW w:w="5076" w:type="dxa"/>
          </w:tcPr>
          <w:p w:rsidR="00207DD3" w:rsidRDefault="001C7863" w:rsidP="00207DD3">
            <w:pPr>
              <w:jc w:val="center"/>
            </w:pPr>
            <w:r>
              <w:rPr>
                <w:noProof/>
              </w:rPr>
              <w:lastRenderedPageBreak/>
              <w:drawing>
                <wp:inline distT="0" distB="0" distL="0" distR="0">
                  <wp:extent cx="3076614" cy="2377383"/>
                  <wp:effectExtent l="19050" t="0" r="9486"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bacco 30Day Youth 8th.jpg"/>
                          <pic:cNvPicPr/>
                        </pic:nvPicPr>
                        <pic:blipFill>
                          <a:blip r:embed="rId39" cstate="print"/>
                          <a:stretch>
                            <a:fillRect/>
                          </a:stretch>
                        </pic:blipFill>
                        <pic:spPr>
                          <a:xfrm>
                            <a:off x="0" y="0"/>
                            <a:ext cx="3076614" cy="2377383"/>
                          </a:xfrm>
                          <a:prstGeom prst="rect">
                            <a:avLst/>
                          </a:prstGeom>
                        </pic:spPr>
                      </pic:pic>
                    </a:graphicData>
                  </a:graphic>
                </wp:inline>
              </w:drawing>
            </w:r>
          </w:p>
        </w:tc>
        <w:tc>
          <w:tcPr>
            <w:tcW w:w="5076" w:type="dxa"/>
          </w:tcPr>
          <w:p w:rsidR="00207DD3" w:rsidRDefault="001C7863" w:rsidP="00207DD3">
            <w:pPr>
              <w:jc w:val="center"/>
            </w:pPr>
            <w:r>
              <w:rPr>
                <w:noProof/>
              </w:rPr>
              <w:drawing>
                <wp:inline distT="0" distB="0" distL="0" distR="0">
                  <wp:extent cx="3076614" cy="2377383"/>
                  <wp:effectExtent l="19050" t="0" r="9486"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bacco 30Day Youth 10th.jpg"/>
                          <pic:cNvPicPr/>
                        </pic:nvPicPr>
                        <pic:blipFill>
                          <a:blip r:embed="rId40" cstate="print"/>
                          <a:stretch>
                            <a:fillRect/>
                          </a:stretch>
                        </pic:blipFill>
                        <pic:spPr>
                          <a:xfrm>
                            <a:off x="0" y="0"/>
                            <a:ext cx="3076614" cy="2377383"/>
                          </a:xfrm>
                          <a:prstGeom prst="rect">
                            <a:avLst/>
                          </a:prstGeom>
                        </pic:spPr>
                      </pic:pic>
                    </a:graphicData>
                  </a:graphic>
                </wp:inline>
              </w:drawing>
            </w:r>
          </w:p>
        </w:tc>
      </w:tr>
      <w:tr w:rsidR="00207DD3" w:rsidTr="00207DD3">
        <w:tc>
          <w:tcPr>
            <w:tcW w:w="10152" w:type="dxa"/>
            <w:gridSpan w:val="2"/>
          </w:tcPr>
          <w:p w:rsidR="00207DD3" w:rsidRDefault="001C7863" w:rsidP="001C41D6">
            <w:pPr>
              <w:keepNext/>
              <w:jc w:val="center"/>
            </w:pPr>
            <w:r>
              <w:rPr>
                <w:noProof/>
              </w:rPr>
              <w:drawing>
                <wp:inline distT="0" distB="0" distL="0" distR="0">
                  <wp:extent cx="4733253" cy="3657513"/>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bacco 30Day Youth 12th.jpg"/>
                          <pic:cNvPicPr/>
                        </pic:nvPicPr>
                        <pic:blipFill>
                          <a:blip r:embed="rId41" cstate="print"/>
                          <a:stretch>
                            <a:fillRect/>
                          </a:stretch>
                        </pic:blipFill>
                        <pic:spPr>
                          <a:xfrm>
                            <a:off x="0" y="0"/>
                            <a:ext cx="4733253" cy="3657513"/>
                          </a:xfrm>
                          <a:prstGeom prst="rect">
                            <a:avLst/>
                          </a:prstGeom>
                        </pic:spPr>
                      </pic:pic>
                    </a:graphicData>
                  </a:graphic>
                </wp:inline>
              </w:drawing>
            </w:r>
          </w:p>
        </w:tc>
      </w:tr>
    </w:tbl>
    <w:p w:rsidR="00207DD3" w:rsidRDefault="001C41D6" w:rsidP="001C41D6">
      <w:pPr>
        <w:pStyle w:val="Caption"/>
      </w:pPr>
      <w:bookmarkStart w:id="51" w:name="_Ref356817649"/>
      <w:bookmarkStart w:id="52" w:name="_Toc362873981"/>
      <w:proofErr w:type="gramStart"/>
      <w:r>
        <w:t xml:space="preserve">Figure </w:t>
      </w:r>
      <w:r w:rsidR="00DD1BE8">
        <w:fldChar w:fldCharType="begin"/>
      </w:r>
      <w:r w:rsidR="00A034FF">
        <w:instrText xml:space="preserve"> SEQ Figure \* ARABIC </w:instrText>
      </w:r>
      <w:r w:rsidR="00DD1BE8">
        <w:fldChar w:fldCharType="separate"/>
      </w:r>
      <w:r w:rsidR="0002537D">
        <w:rPr>
          <w:noProof/>
        </w:rPr>
        <w:t>18</w:t>
      </w:r>
      <w:r w:rsidR="00DD1BE8">
        <w:rPr>
          <w:noProof/>
        </w:rPr>
        <w:fldChar w:fldCharType="end"/>
      </w:r>
      <w:bookmarkEnd w:id="51"/>
      <w:r w:rsidR="00AA671F">
        <w:t>.</w:t>
      </w:r>
      <w:proofErr w:type="gramEnd"/>
      <w:r w:rsidRPr="00F55CD8">
        <w:t xml:space="preserve"> Percentage of youth reporting </w:t>
      </w:r>
      <w:r w:rsidR="00AA671F">
        <w:t xml:space="preserve">cigarette </w:t>
      </w:r>
      <w:r w:rsidRPr="00F55CD8">
        <w:t>use within the last 30 days</w:t>
      </w:r>
      <w:r>
        <w:t xml:space="preserve"> by parish </w:t>
      </w:r>
      <w:r w:rsidRPr="00F55CD8">
        <w:t>(Source: CCYS 201</w:t>
      </w:r>
      <w:r w:rsidR="00BC45C9">
        <w:t>2</w:t>
      </w:r>
      <w:r w:rsidRPr="00F55CD8">
        <w:t>)</w:t>
      </w:r>
      <w:bookmarkEnd w:id="52"/>
    </w:p>
    <w:p w:rsidR="00207DD3" w:rsidRDefault="00DD1BE8" w:rsidP="006D1A5D">
      <w:r>
        <w:fldChar w:fldCharType="begin"/>
      </w:r>
      <w:r w:rsidR="004416E6">
        <w:instrText xml:space="preserve"> REF _Ref356891171 \h </w:instrText>
      </w:r>
      <w:r>
        <w:fldChar w:fldCharType="separate"/>
      </w:r>
      <w:r w:rsidR="0002537D">
        <w:t xml:space="preserve">Figure </w:t>
      </w:r>
      <w:r w:rsidR="0002537D">
        <w:rPr>
          <w:noProof/>
        </w:rPr>
        <w:t>19</w:t>
      </w:r>
      <w:r>
        <w:fldChar w:fldCharType="end"/>
      </w:r>
      <w:r w:rsidR="004416E6">
        <w:t xml:space="preserve"> displays the rates of heavy cigarette use for youth in 6</w:t>
      </w:r>
      <w:r w:rsidR="004416E6" w:rsidRPr="004416E6">
        <w:rPr>
          <w:vertAlign w:val="superscript"/>
        </w:rPr>
        <w:t>th</w:t>
      </w:r>
      <w:r w:rsidR="004416E6">
        <w:t>, 8</w:t>
      </w:r>
      <w:r w:rsidR="004416E6" w:rsidRPr="004416E6">
        <w:rPr>
          <w:vertAlign w:val="superscript"/>
        </w:rPr>
        <w:t>th</w:t>
      </w:r>
      <w:r w:rsidR="004416E6">
        <w:t>, 10</w:t>
      </w:r>
      <w:r w:rsidR="004416E6" w:rsidRPr="004416E6">
        <w:rPr>
          <w:vertAlign w:val="superscript"/>
        </w:rPr>
        <w:t>th</w:t>
      </w:r>
      <w:r w:rsidR="004416E6">
        <w:t xml:space="preserve"> and 12</w:t>
      </w:r>
      <w:r w:rsidR="004416E6" w:rsidRPr="004416E6">
        <w:rPr>
          <w:vertAlign w:val="superscript"/>
        </w:rPr>
        <w:t>th</w:t>
      </w:r>
      <w:r w:rsidR="004416E6">
        <w:t xml:space="preserve"> grades. Similar to the rates for 30-day use, these rates have been steadily declining since 2002. </w:t>
      </w:r>
      <w:r w:rsidR="001C7863">
        <w:t>Even with the steady decline, the rates of heavy use within the state exceed the national rates (e.g., 5.8% LA 12</w:t>
      </w:r>
      <w:r w:rsidR="001C7863" w:rsidRPr="001C7863">
        <w:rPr>
          <w:vertAlign w:val="superscript"/>
        </w:rPr>
        <w:t>th</w:t>
      </w:r>
      <w:r w:rsidR="001C7863">
        <w:t xml:space="preserve"> Grade vs. 4.7% US 12</w:t>
      </w:r>
      <w:r w:rsidR="001C7863" w:rsidRPr="001C7863">
        <w:rPr>
          <w:vertAlign w:val="superscript"/>
        </w:rPr>
        <w:t>th</w:t>
      </w:r>
      <w:r w:rsidR="001C7863">
        <w:t xml:space="preserve"> Grade (MTF)).</w:t>
      </w:r>
    </w:p>
    <w:p w:rsidR="006735F8" w:rsidRDefault="006735F8" w:rsidP="006D1A5D">
      <w:r>
        <w:rPr>
          <w:noProof/>
        </w:rPr>
        <w:lastRenderedPageBreak/>
        <w:drawing>
          <wp:inline distT="0" distB="0" distL="0" distR="0">
            <wp:extent cx="5943600" cy="3484880"/>
            <wp:effectExtent l="0" t="0" r="0" b="127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49168C" w:rsidRDefault="00AA671F" w:rsidP="00AA671F">
      <w:pPr>
        <w:pStyle w:val="Caption"/>
      </w:pPr>
      <w:bookmarkStart w:id="53" w:name="_Ref356891171"/>
      <w:bookmarkStart w:id="54" w:name="_Toc362873982"/>
      <w:proofErr w:type="gramStart"/>
      <w:r>
        <w:t xml:space="preserve">Figure </w:t>
      </w:r>
      <w:r w:rsidR="00DD1BE8">
        <w:fldChar w:fldCharType="begin"/>
      </w:r>
      <w:r w:rsidR="00A034FF">
        <w:instrText xml:space="preserve"> SEQ Figure \* ARABIC </w:instrText>
      </w:r>
      <w:r w:rsidR="00DD1BE8">
        <w:fldChar w:fldCharType="separate"/>
      </w:r>
      <w:r w:rsidR="0002537D">
        <w:rPr>
          <w:noProof/>
        </w:rPr>
        <w:t>19</w:t>
      </w:r>
      <w:r w:rsidR="00DD1BE8">
        <w:rPr>
          <w:noProof/>
        </w:rPr>
        <w:fldChar w:fldCharType="end"/>
      </w:r>
      <w:bookmarkEnd w:id="53"/>
      <w:r>
        <w:t>.</w:t>
      </w:r>
      <w:proofErr w:type="gramEnd"/>
      <w:r>
        <w:t xml:space="preserve"> Percentage of youth reporting heavy cigarette use within the last 30 days from 2002 to 201</w:t>
      </w:r>
      <w:r w:rsidR="006735F8">
        <w:t>2</w:t>
      </w:r>
      <w:r>
        <w:t xml:space="preserve"> (Source: CCYS)</w:t>
      </w:r>
      <w:bookmarkEnd w:id="54"/>
    </w:p>
    <w:p w:rsidR="001C7863" w:rsidRDefault="00DD1BE8" w:rsidP="001C7863">
      <w:r>
        <w:fldChar w:fldCharType="begin"/>
      </w:r>
      <w:r w:rsidR="009B26ED">
        <w:instrText xml:space="preserve"> REF _Ref356892115 \h </w:instrText>
      </w:r>
      <w:r>
        <w:fldChar w:fldCharType="separate"/>
      </w:r>
      <w:r w:rsidR="0002537D">
        <w:t xml:space="preserve">Figure </w:t>
      </w:r>
      <w:r w:rsidR="0002537D">
        <w:rPr>
          <w:noProof/>
        </w:rPr>
        <w:t>20</w:t>
      </w:r>
      <w:r>
        <w:fldChar w:fldCharType="end"/>
      </w:r>
      <w:r w:rsidR="009B26ED">
        <w:t xml:space="preserve"> displays the rates of heavy cigarette use by parish as measured by the CCYS in </w:t>
      </w:r>
      <w:r w:rsidR="00BC45C9">
        <w:t>2012</w:t>
      </w:r>
      <w:r w:rsidR="009B26ED">
        <w:t>. Again usage rates are distributed across the state with an apparent bias toward heavier use in rural areas.</w:t>
      </w:r>
      <w:r w:rsidR="00151B21">
        <w:t xml:space="preserve"> There is also some indication that use rates for young adults has recently decreased. Based on the CORE </w:t>
      </w:r>
      <w:r w:rsidR="000F39B8">
        <w:t>Alcohol and Drug S</w:t>
      </w:r>
      <w:r w:rsidR="00151B21">
        <w:t xml:space="preserve">urvey conducted at institutes of higher education, the rate of reported heavy use (3 or more times within the past week) has decreased from 20.3% in 2009 to 16.8% in 2011. Similarly, the rates of use within the past 30 days also show a decrease from 28.1% in 2009 to 25.1% in 2011. The young adult numbers should be considered judiciously due to the large expansion in the sampled institutions between 2009 and 2011. </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5076"/>
        <w:gridCol w:w="5076"/>
      </w:tblGrid>
      <w:tr w:rsidR="001C7863" w:rsidTr="00A25B7A">
        <w:tc>
          <w:tcPr>
            <w:tcW w:w="5076" w:type="dxa"/>
          </w:tcPr>
          <w:p w:rsidR="001C7863" w:rsidRDefault="001C7863" w:rsidP="00A25B7A">
            <w:pPr>
              <w:jc w:val="center"/>
            </w:pPr>
            <w:r>
              <w:rPr>
                <w:noProof/>
              </w:rPr>
              <w:drawing>
                <wp:inline distT="0" distB="0" distL="0" distR="0">
                  <wp:extent cx="3076614" cy="2377383"/>
                  <wp:effectExtent l="19050" t="0" r="9486"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garette Youth 8th.jpg"/>
                          <pic:cNvPicPr/>
                        </pic:nvPicPr>
                        <pic:blipFill>
                          <a:blip r:embed="rId43" cstate="print"/>
                          <a:stretch>
                            <a:fillRect/>
                          </a:stretch>
                        </pic:blipFill>
                        <pic:spPr>
                          <a:xfrm>
                            <a:off x="0" y="0"/>
                            <a:ext cx="3076614" cy="2377383"/>
                          </a:xfrm>
                          <a:prstGeom prst="rect">
                            <a:avLst/>
                          </a:prstGeom>
                        </pic:spPr>
                      </pic:pic>
                    </a:graphicData>
                  </a:graphic>
                </wp:inline>
              </w:drawing>
            </w:r>
          </w:p>
        </w:tc>
        <w:tc>
          <w:tcPr>
            <w:tcW w:w="5076" w:type="dxa"/>
          </w:tcPr>
          <w:p w:rsidR="001C7863" w:rsidRDefault="001C7863" w:rsidP="00A25B7A">
            <w:pPr>
              <w:jc w:val="center"/>
            </w:pPr>
            <w:r>
              <w:rPr>
                <w:noProof/>
              </w:rPr>
              <w:drawing>
                <wp:inline distT="0" distB="0" distL="0" distR="0">
                  <wp:extent cx="3076687" cy="2377440"/>
                  <wp:effectExtent l="19050" t="0" r="9413"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garette Youth 10th.jpg"/>
                          <pic:cNvPicPr/>
                        </pic:nvPicPr>
                        <pic:blipFill>
                          <a:blip r:embed="rId44" cstate="print"/>
                          <a:stretch>
                            <a:fillRect/>
                          </a:stretch>
                        </pic:blipFill>
                        <pic:spPr>
                          <a:xfrm>
                            <a:off x="0" y="0"/>
                            <a:ext cx="3076687" cy="2377440"/>
                          </a:xfrm>
                          <a:prstGeom prst="rect">
                            <a:avLst/>
                          </a:prstGeom>
                        </pic:spPr>
                      </pic:pic>
                    </a:graphicData>
                  </a:graphic>
                </wp:inline>
              </w:drawing>
            </w:r>
          </w:p>
        </w:tc>
      </w:tr>
      <w:tr w:rsidR="001C7863" w:rsidTr="00A25B7A">
        <w:tc>
          <w:tcPr>
            <w:tcW w:w="10152" w:type="dxa"/>
            <w:gridSpan w:val="2"/>
          </w:tcPr>
          <w:p w:rsidR="001C7863" w:rsidRDefault="001C7863" w:rsidP="001C7863">
            <w:pPr>
              <w:keepNext/>
              <w:jc w:val="center"/>
            </w:pPr>
            <w:r>
              <w:rPr>
                <w:noProof/>
              </w:rPr>
              <w:lastRenderedPageBreak/>
              <w:drawing>
                <wp:inline distT="0" distB="0" distL="0" distR="0">
                  <wp:extent cx="4733364" cy="365760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garette Youth 12th.jpg"/>
                          <pic:cNvPicPr/>
                        </pic:nvPicPr>
                        <pic:blipFill>
                          <a:blip r:embed="rId45" cstate="print"/>
                          <a:stretch>
                            <a:fillRect/>
                          </a:stretch>
                        </pic:blipFill>
                        <pic:spPr>
                          <a:xfrm>
                            <a:off x="0" y="0"/>
                            <a:ext cx="4733364" cy="3657600"/>
                          </a:xfrm>
                          <a:prstGeom prst="rect">
                            <a:avLst/>
                          </a:prstGeom>
                        </pic:spPr>
                      </pic:pic>
                    </a:graphicData>
                  </a:graphic>
                </wp:inline>
              </w:drawing>
            </w:r>
          </w:p>
        </w:tc>
      </w:tr>
    </w:tbl>
    <w:p w:rsidR="001C7863" w:rsidRPr="001C7863" w:rsidRDefault="001C7863" w:rsidP="001C7863">
      <w:pPr>
        <w:pStyle w:val="Caption"/>
      </w:pPr>
      <w:bookmarkStart w:id="55" w:name="_Ref356892115"/>
      <w:bookmarkStart w:id="56" w:name="_Toc362873983"/>
      <w:proofErr w:type="gramStart"/>
      <w:r>
        <w:t xml:space="preserve">Figure </w:t>
      </w:r>
      <w:r w:rsidR="00DD1BE8">
        <w:fldChar w:fldCharType="begin"/>
      </w:r>
      <w:r w:rsidR="00A034FF">
        <w:instrText xml:space="preserve"> SEQ Figure \* ARABIC </w:instrText>
      </w:r>
      <w:r w:rsidR="00DD1BE8">
        <w:fldChar w:fldCharType="separate"/>
      </w:r>
      <w:r w:rsidR="0002537D">
        <w:rPr>
          <w:noProof/>
        </w:rPr>
        <w:t>20</w:t>
      </w:r>
      <w:r w:rsidR="00DD1BE8">
        <w:rPr>
          <w:noProof/>
        </w:rPr>
        <w:fldChar w:fldCharType="end"/>
      </w:r>
      <w:bookmarkEnd w:id="55"/>
      <w:r>
        <w:t>.</w:t>
      </w:r>
      <w:proofErr w:type="gramEnd"/>
      <w:r>
        <w:t xml:space="preserve"> Percentage of youth reporting heavy cigarette use by</w:t>
      </w:r>
      <w:r>
        <w:rPr>
          <w:noProof/>
        </w:rPr>
        <w:t xml:space="preserve"> parish (CCYS 201</w:t>
      </w:r>
      <w:r w:rsidR="00BC45C9">
        <w:rPr>
          <w:noProof/>
        </w:rPr>
        <w:t>2</w:t>
      </w:r>
      <w:r>
        <w:rPr>
          <w:noProof/>
        </w:rPr>
        <w:t>)</w:t>
      </w:r>
      <w:bookmarkEnd w:id="56"/>
    </w:p>
    <w:p w:rsidR="007E2632" w:rsidRDefault="007E2632" w:rsidP="007E2632">
      <w:pPr>
        <w:pStyle w:val="Heading3"/>
      </w:pPr>
      <w:bookmarkStart w:id="57" w:name="_Toc362873951"/>
      <w:r>
        <w:t>Adult Tobacco Indicators</w:t>
      </w:r>
      <w:bookmarkEnd w:id="57"/>
    </w:p>
    <w:p w:rsidR="00085BF8" w:rsidRPr="00085BF8" w:rsidRDefault="00085BF8" w:rsidP="00085BF8">
      <w:r>
        <w:t>Until the most recent results available for adult tobacco use, the trend was very similar to the trends for youth and young adults. There had been a slow, steady decrease in heavy cigarette use from 2001 through 2010, but there was a sharp increase in the reported rates in the 2011 BRFSS (</w:t>
      </w:r>
      <w:r w:rsidR="00DD1BE8">
        <w:fldChar w:fldCharType="begin"/>
      </w:r>
      <w:r>
        <w:instrText xml:space="preserve"> REF _Ref356901257 \h </w:instrText>
      </w:r>
      <w:r w:rsidR="00DD1BE8">
        <w:fldChar w:fldCharType="separate"/>
      </w:r>
      <w:r w:rsidR="0002537D">
        <w:t xml:space="preserve">Figure </w:t>
      </w:r>
      <w:r w:rsidR="0002537D">
        <w:rPr>
          <w:noProof/>
        </w:rPr>
        <w:t>21</w:t>
      </w:r>
      <w:r w:rsidR="00DD1BE8">
        <w:fldChar w:fldCharType="end"/>
      </w:r>
      <w:r>
        <w:t>).  Rates increased within Louisiana and nationally, which is most likely related to the methodological changes that were implemented within the BRFSS to account for a substantial shift in US household to having only cell phones and no landlines</w:t>
      </w:r>
      <w:r>
        <w:rPr>
          <w:rStyle w:val="FootnoteReference"/>
        </w:rPr>
        <w:footnoteReference w:id="7"/>
      </w:r>
      <w:r>
        <w:t xml:space="preserve">. </w:t>
      </w:r>
    </w:p>
    <w:p w:rsidR="00085BF8" w:rsidRDefault="0049168C" w:rsidP="00085BF8">
      <w:pPr>
        <w:keepNext/>
      </w:pPr>
      <w:r>
        <w:rPr>
          <w:noProof/>
        </w:rPr>
        <w:lastRenderedPageBreak/>
        <w:drawing>
          <wp:inline distT="0" distB="0" distL="0" distR="0">
            <wp:extent cx="5943600" cy="2377440"/>
            <wp:effectExtent l="0" t="0" r="0" b="381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49168C" w:rsidRDefault="00085BF8" w:rsidP="00085BF8">
      <w:pPr>
        <w:pStyle w:val="Caption"/>
      </w:pPr>
      <w:bookmarkStart w:id="58" w:name="_Ref356901257"/>
      <w:bookmarkStart w:id="59" w:name="_Toc362873984"/>
      <w:proofErr w:type="gramStart"/>
      <w:r>
        <w:t xml:space="preserve">Figure </w:t>
      </w:r>
      <w:r w:rsidR="00DD1BE8">
        <w:fldChar w:fldCharType="begin"/>
      </w:r>
      <w:r w:rsidR="00A034FF">
        <w:instrText xml:space="preserve"> SEQ Figure \* ARABIC </w:instrText>
      </w:r>
      <w:r w:rsidR="00DD1BE8">
        <w:fldChar w:fldCharType="separate"/>
      </w:r>
      <w:r w:rsidR="0002537D">
        <w:rPr>
          <w:noProof/>
        </w:rPr>
        <w:t>21</w:t>
      </w:r>
      <w:r w:rsidR="00DD1BE8">
        <w:rPr>
          <w:noProof/>
        </w:rPr>
        <w:fldChar w:fldCharType="end"/>
      </w:r>
      <w:bookmarkEnd w:id="58"/>
      <w:r>
        <w:t>.</w:t>
      </w:r>
      <w:proofErr w:type="gramEnd"/>
      <w:r>
        <w:t xml:space="preserve"> Percentage of adults reporting heavy cigarette use from 2001 through 2011 (Source: BRFSS)</w:t>
      </w:r>
      <w:bookmarkEnd w:id="59"/>
    </w:p>
    <w:p w:rsidR="0049168C" w:rsidRDefault="00DD1BE8" w:rsidP="006D1A5D">
      <w:r>
        <w:fldChar w:fldCharType="begin"/>
      </w:r>
      <w:r w:rsidR="00AB5FE9">
        <w:instrText xml:space="preserve"> REF _Ref356903702 \h </w:instrText>
      </w:r>
      <w:r>
        <w:fldChar w:fldCharType="separate"/>
      </w:r>
      <w:r w:rsidR="0002537D">
        <w:t xml:space="preserve">Figure </w:t>
      </w:r>
      <w:r w:rsidR="0002537D">
        <w:rPr>
          <w:noProof/>
        </w:rPr>
        <w:t>22</w:t>
      </w:r>
      <w:r>
        <w:fldChar w:fldCharType="end"/>
      </w:r>
      <w:r w:rsidR="00AB5FE9">
        <w:t xml:space="preserve"> displays a similar trend in current cigarette use in Louisiana and the nation. There has been a general decrease in use, but the last year of available data show a slight increase again likely attributable to the change in sampling methodology for the BRFSS.</w:t>
      </w:r>
      <w:r w:rsidR="00116B97">
        <w:t xml:space="preserve"> Even considering that the rate in Louisiana has been on a downward trend, the rate of adult cigarette use in the state exceeds the national average. </w:t>
      </w:r>
    </w:p>
    <w:p w:rsidR="00AB5FE9" w:rsidRDefault="0049168C" w:rsidP="00AB5FE9">
      <w:pPr>
        <w:keepNext/>
      </w:pPr>
      <w:r>
        <w:rPr>
          <w:noProof/>
        </w:rPr>
        <w:drawing>
          <wp:inline distT="0" distB="0" distL="0" distR="0">
            <wp:extent cx="5943600" cy="2377440"/>
            <wp:effectExtent l="0" t="0" r="0" b="381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49168C" w:rsidRDefault="00AB5FE9" w:rsidP="00AB5FE9">
      <w:pPr>
        <w:pStyle w:val="Caption"/>
      </w:pPr>
      <w:bookmarkStart w:id="60" w:name="_Ref356903702"/>
      <w:bookmarkStart w:id="61" w:name="_Toc362873985"/>
      <w:proofErr w:type="gramStart"/>
      <w:r>
        <w:t xml:space="preserve">Figure </w:t>
      </w:r>
      <w:r w:rsidR="00DD1BE8">
        <w:fldChar w:fldCharType="begin"/>
      </w:r>
      <w:r w:rsidR="00A034FF">
        <w:instrText xml:space="preserve"> SEQ Figure \* ARABIC </w:instrText>
      </w:r>
      <w:r w:rsidR="00DD1BE8">
        <w:fldChar w:fldCharType="separate"/>
      </w:r>
      <w:r w:rsidR="0002537D">
        <w:rPr>
          <w:noProof/>
        </w:rPr>
        <w:t>22</w:t>
      </w:r>
      <w:r w:rsidR="00DD1BE8">
        <w:rPr>
          <w:noProof/>
        </w:rPr>
        <w:fldChar w:fldCharType="end"/>
      </w:r>
      <w:bookmarkEnd w:id="60"/>
      <w:r>
        <w:t>.</w:t>
      </w:r>
      <w:proofErr w:type="gramEnd"/>
      <w:r>
        <w:t xml:space="preserve"> Percentage of adults reporting current cigarette use from 2001-2011 (Source: BRFSS)</w:t>
      </w:r>
      <w:bookmarkEnd w:id="61"/>
    </w:p>
    <w:p w:rsidR="00570DAE" w:rsidRPr="00570DAE" w:rsidRDefault="00570DAE" w:rsidP="00570DAE">
      <w:r>
        <w:t xml:space="preserve">One of the challenges to preventing the use of tobacco and reducing the current rates is that the consequences of tobacco use tend to be very distant in time from initiating the habit. One well-known </w:t>
      </w:r>
      <w:r w:rsidR="00116B97">
        <w:t>consequences</w:t>
      </w:r>
      <w:r>
        <w:t xml:space="preserve"> of smoking is lung cancer. There is some evidence that there is a </w:t>
      </w:r>
      <w:r w:rsidR="00116B97">
        <w:t>slight decrease in the rate of l</w:t>
      </w:r>
      <w:r>
        <w:t xml:space="preserve">ung </w:t>
      </w:r>
      <w:r w:rsidR="00116B97">
        <w:t>cancer</w:t>
      </w:r>
      <w:r>
        <w:t xml:space="preserve"> in Louisiana, but that decrease is almost certainly more closely related to reduction in smoking rates from 20 or more years ago. Regardless of the timing, a reduction in lung cancer is welcome.</w:t>
      </w:r>
    </w:p>
    <w:p w:rsidR="00AB5FE9" w:rsidRDefault="00085BF8" w:rsidP="00AB5FE9">
      <w:pPr>
        <w:keepNext/>
      </w:pPr>
      <w:r>
        <w:rPr>
          <w:noProof/>
        </w:rPr>
        <w:lastRenderedPageBreak/>
        <w:drawing>
          <wp:inline distT="0" distB="0" distL="0" distR="0">
            <wp:extent cx="5943600" cy="2377440"/>
            <wp:effectExtent l="0" t="0" r="0" b="381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49168C" w:rsidRPr="0049168C" w:rsidRDefault="00AB5FE9" w:rsidP="00AB5FE9">
      <w:pPr>
        <w:pStyle w:val="Caption"/>
      </w:pPr>
      <w:bookmarkStart w:id="62" w:name="_Toc362873986"/>
      <w:proofErr w:type="gramStart"/>
      <w:r>
        <w:t xml:space="preserve">Figure </w:t>
      </w:r>
      <w:r w:rsidR="00DD1BE8">
        <w:fldChar w:fldCharType="begin"/>
      </w:r>
      <w:r w:rsidR="00A034FF">
        <w:instrText xml:space="preserve"> SEQ Figure \* ARABIC </w:instrText>
      </w:r>
      <w:r w:rsidR="00DD1BE8">
        <w:fldChar w:fldCharType="separate"/>
      </w:r>
      <w:r w:rsidR="0002537D">
        <w:rPr>
          <w:noProof/>
        </w:rPr>
        <w:t>23</w:t>
      </w:r>
      <w:r w:rsidR="00DD1BE8">
        <w:rPr>
          <w:noProof/>
        </w:rPr>
        <w:fldChar w:fldCharType="end"/>
      </w:r>
      <w:r>
        <w:t>.</w:t>
      </w:r>
      <w:proofErr w:type="gramEnd"/>
      <w:r>
        <w:t xml:space="preserve"> Rates per 100,000 for lung cancer fatalities in Louisiana from 1999 to 2010 (Source: </w:t>
      </w:r>
      <w:r w:rsidR="00B42AD8">
        <w:t>OPH</w:t>
      </w:r>
      <w:r w:rsidRPr="00F77993">
        <w:t>, Center for Records and Statistics</w:t>
      </w:r>
      <w:r>
        <w:t>)</w:t>
      </w:r>
      <w:bookmarkEnd w:id="62"/>
    </w:p>
    <w:p w:rsidR="00DB2541" w:rsidRDefault="00DB2541">
      <w:pPr>
        <w:rPr>
          <w:b/>
          <w:sz w:val="24"/>
          <w:szCs w:val="24"/>
        </w:rPr>
      </w:pPr>
      <w:r>
        <w:br w:type="page"/>
      </w:r>
    </w:p>
    <w:p w:rsidR="002C6C72" w:rsidRDefault="002C6C72" w:rsidP="006D1A5D">
      <w:pPr>
        <w:pStyle w:val="Heading2"/>
      </w:pPr>
      <w:bookmarkStart w:id="63" w:name="_Toc362873952"/>
      <w:r>
        <w:lastRenderedPageBreak/>
        <w:t>Marijuana Indicators</w:t>
      </w:r>
      <w:bookmarkEnd w:id="63"/>
    </w:p>
    <w:p w:rsidR="002C6C72" w:rsidRDefault="006923B3" w:rsidP="006D1A5D">
      <w:r>
        <w:t>Marijuana is the most commonly used drug within the category of other drugs after alcohol and tobacco. Substances that are regularly reported as growing problems such as methamphetamines (1.7% lifetime use in 12</w:t>
      </w:r>
      <w:r w:rsidRPr="006923B3">
        <w:rPr>
          <w:vertAlign w:val="superscript"/>
        </w:rPr>
        <w:t>th</w:t>
      </w:r>
      <w:r>
        <w:t xml:space="preserve"> graders) or prescription drugs (7.2% lifetime use in 12</w:t>
      </w:r>
      <w:r w:rsidRPr="006923B3">
        <w:rPr>
          <w:vertAlign w:val="superscript"/>
        </w:rPr>
        <w:t>th</w:t>
      </w:r>
      <w:r>
        <w:t xml:space="preserve"> graders) represent a much smaller rate than that for marijuana (30.3%</w:t>
      </w:r>
      <w:r w:rsidRPr="006923B3">
        <w:t xml:space="preserve"> </w:t>
      </w:r>
      <w:r>
        <w:t>lifetime use in 12</w:t>
      </w:r>
      <w:r w:rsidRPr="006923B3">
        <w:rPr>
          <w:vertAlign w:val="superscript"/>
        </w:rPr>
        <w:t>th</w:t>
      </w:r>
      <w:r>
        <w:t xml:space="preserve"> graders). </w:t>
      </w:r>
      <w:r w:rsidR="005674BE">
        <w:t>Measures of marijuana consumption indicate increasing rates</w:t>
      </w:r>
      <w:r>
        <w:t xml:space="preserve"> of use amongst both youth and young adults. While the Louisiana rates are typically lower than national rates (e.g., 30-day use: 14.6% LA 12</w:t>
      </w:r>
      <w:r w:rsidRPr="006923B3">
        <w:rPr>
          <w:vertAlign w:val="superscript"/>
        </w:rPr>
        <w:t>th</w:t>
      </w:r>
      <w:r>
        <w:t xml:space="preserve"> graders (CCYS) vs. 22.6% US 12</w:t>
      </w:r>
      <w:r w:rsidRPr="006923B3">
        <w:rPr>
          <w:vertAlign w:val="superscript"/>
        </w:rPr>
        <w:t>th</w:t>
      </w:r>
      <w:r>
        <w:t xml:space="preserve"> graders (MTF)), the increase from 11.2% to 14.6% is cause for concern. </w:t>
      </w:r>
      <w:r w:rsidR="00595360">
        <w:t xml:space="preserve"> Adult consumption has remained at relatively </w:t>
      </w:r>
      <w:r w:rsidR="00805D5C">
        <w:t xml:space="preserve">stable </w:t>
      </w:r>
      <w:r w:rsidR="00595360">
        <w:t>rates since 2002.</w:t>
      </w:r>
    </w:p>
    <w:p w:rsidR="007E2632" w:rsidRDefault="007E2632" w:rsidP="007E2632">
      <w:pPr>
        <w:pStyle w:val="Heading3"/>
      </w:pPr>
      <w:bookmarkStart w:id="64" w:name="_Toc362873953"/>
      <w:r>
        <w:t>Youth Marijuana Indicators</w:t>
      </w:r>
      <w:bookmarkEnd w:id="64"/>
    </w:p>
    <w:p w:rsidR="00595360" w:rsidRDefault="00595360" w:rsidP="00595360">
      <w:r>
        <w:t xml:space="preserve">As show in </w:t>
      </w:r>
      <w:r w:rsidR="00DD1BE8">
        <w:fldChar w:fldCharType="begin"/>
      </w:r>
      <w:r w:rsidR="0095555D">
        <w:instrText xml:space="preserve"> REF _Ref357057128 \h </w:instrText>
      </w:r>
      <w:r w:rsidR="00DD1BE8">
        <w:fldChar w:fldCharType="separate"/>
      </w:r>
      <w:r w:rsidR="0002537D">
        <w:t xml:space="preserve">Figure </w:t>
      </w:r>
      <w:r w:rsidR="0002537D">
        <w:rPr>
          <w:noProof/>
        </w:rPr>
        <w:t>24</w:t>
      </w:r>
      <w:r w:rsidR="00DD1BE8">
        <w:fldChar w:fldCharType="end"/>
      </w:r>
      <w:r w:rsidR="0095555D">
        <w:t xml:space="preserve">, there has been an increase in the rates of 30-day marijuana consumption across all grades surveyed in the CCYS. </w:t>
      </w:r>
    </w:p>
    <w:p w:rsidR="00801F7C" w:rsidRDefault="00801F7C" w:rsidP="00595360">
      <w:r>
        <w:rPr>
          <w:noProof/>
        </w:rPr>
        <w:drawing>
          <wp:inline distT="0" distB="0" distL="0" distR="0">
            <wp:extent cx="5948039" cy="2556768"/>
            <wp:effectExtent l="0" t="0" r="0" b="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1323BE" w:rsidRDefault="00595360" w:rsidP="00595360">
      <w:pPr>
        <w:pStyle w:val="Caption"/>
      </w:pPr>
      <w:bookmarkStart w:id="65" w:name="_Ref357057128"/>
      <w:bookmarkStart w:id="66" w:name="_Toc362873987"/>
      <w:proofErr w:type="gramStart"/>
      <w:r>
        <w:t xml:space="preserve">Figure </w:t>
      </w:r>
      <w:r w:rsidR="00DD1BE8">
        <w:fldChar w:fldCharType="begin"/>
      </w:r>
      <w:r w:rsidR="00A034FF">
        <w:instrText xml:space="preserve"> SEQ Figure \* ARABIC </w:instrText>
      </w:r>
      <w:r w:rsidR="00DD1BE8">
        <w:fldChar w:fldCharType="separate"/>
      </w:r>
      <w:r w:rsidR="0002537D">
        <w:rPr>
          <w:noProof/>
        </w:rPr>
        <w:t>24</w:t>
      </w:r>
      <w:r w:rsidR="00DD1BE8">
        <w:rPr>
          <w:noProof/>
        </w:rPr>
        <w:fldChar w:fldCharType="end"/>
      </w:r>
      <w:bookmarkEnd w:id="65"/>
      <w:r>
        <w:t>.</w:t>
      </w:r>
      <w:proofErr w:type="gramEnd"/>
      <w:r>
        <w:t xml:space="preserve"> Percentage of youth in Louisiana using marijuana in the past 30 days (Source: CCYS</w:t>
      </w:r>
      <w:r w:rsidR="00415953">
        <w:t xml:space="preserve"> 2012</w:t>
      </w:r>
      <w:r>
        <w:t>)</w:t>
      </w:r>
      <w:bookmarkEnd w:id="66"/>
    </w:p>
    <w:p w:rsidR="00EB6AF7" w:rsidRDefault="00DD1BE8" w:rsidP="00EB6AF7">
      <w:r>
        <w:fldChar w:fldCharType="begin"/>
      </w:r>
      <w:r w:rsidR="00EB6AF7">
        <w:instrText xml:space="preserve"> REF _Ref357057495 \h </w:instrText>
      </w:r>
      <w:r>
        <w:fldChar w:fldCharType="separate"/>
      </w:r>
      <w:r w:rsidR="0002537D">
        <w:t xml:space="preserve">Figure </w:t>
      </w:r>
      <w:r w:rsidR="0002537D">
        <w:rPr>
          <w:noProof/>
        </w:rPr>
        <w:t>25</w:t>
      </w:r>
      <w:r>
        <w:fldChar w:fldCharType="end"/>
      </w:r>
      <w:r w:rsidR="00EB6AF7">
        <w:t xml:space="preserve"> shows the rates of 30-day marijuana use amongst 8</w:t>
      </w:r>
      <w:r w:rsidR="00EB6AF7" w:rsidRPr="00EB6AF7">
        <w:rPr>
          <w:vertAlign w:val="superscript"/>
        </w:rPr>
        <w:t>th</w:t>
      </w:r>
      <w:r w:rsidR="00EB6AF7">
        <w:t>, 10</w:t>
      </w:r>
      <w:r w:rsidR="00EB6AF7" w:rsidRPr="00EB6AF7">
        <w:rPr>
          <w:vertAlign w:val="superscript"/>
        </w:rPr>
        <w:t>th</w:t>
      </w:r>
      <w:r w:rsidR="00EB6AF7">
        <w:t>, and 12</w:t>
      </w:r>
      <w:r w:rsidR="00EB6AF7" w:rsidRPr="00EB6AF7">
        <w:rPr>
          <w:vertAlign w:val="superscript"/>
        </w:rPr>
        <w:t>th</w:t>
      </w:r>
      <w:r w:rsidR="00EB6AF7">
        <w:t xml:space="preserve"> grade students in Louisiana for 2010. There is some indication that rates may be higher in the southern and urban areas of the state, but the maps also indicate that marijuana use is widespread across the state. </w:t>
      </w:r>
    </w:p>
    <w:p w:rsidR="00AE0B02" w:rsidRPr="00EB6AF7" w:rsidRDefault="00AE0B02" w:rsidP="00EB6AF7"/>
    <w:tbl>
      <w:tblPr>
        <w:tblStyle w:val="TableGrid"/>
        <w:tblW w:w="0" w:type="auto"/>
        <w:tblBorders>
          <w:insideH w:val="none" w:sz="0" w:space="0" w:color="auto"/>
          <w:insideV w:val="none" w:sz="0" w:space="0" w:color="auto"/>
        </w:tblBorders>
        <w:tblLook w:val="04A0" w:firstRow="1" w:lastRow="0" w:firstColumn="1" w:lastColumn="0" w:noHBand="0" w:noVBand="1"/>
      </w:tblPr>
      <w:tblGrid>
        <w:gridCol w:w="5076"/>
        <w:gridCol w:w="5076"/>
      </w:tblGrid>
      <w:tr w:rsidR="00EB6AF7" w:rsidTr="00E659BF">
        <w:tc>
          <w:tcPr>
            <w:tcW w:w="5076" w:type="dxa"/>
          </w:tcPr>
          <w:p w:rsidR="00EB6AF7" w:rsidRDefault="00EB6AF7" w:rsidP="00E659BF">
            <w:pPr>
              <w:jc w:val="center"/>
            </w:pPr>
            <w:r>
              <w:rPr>
                <w:noProof/>
              </w:rPr>
              <w:lastRenderedPageBreak/>
              <w:drawing>
                <wp:inline distT="0" distB="0" distL="0" distR="0">
                  <wp:extent cx="3076687" cy="2377440"/>
                  <wp:effectExtent l="19050" t="0" r="9413"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juana 30Day Youth 8th.jpg"/>
                          <pic:cNvPicPr/>
                        </pic:nvPicPr>
                        <pic:blipFill>
                          <a:blip r:embed="rId50" cstate="print"/>
                          <a:stretch>
                            <a:fillRect/>
                          </a:stretch>
                        </pic:blipFill>
                        <pic:spPr>
                          <a:xfrm>
                            <a:off x="0" y="0"/>
                            <a:ext cx="3076687" cy="2377440"/>
                          </a:xfrm>
                          <a:prstGeom prst="rect">
                            <a:avLst/>
                          </a:prstGeom>
                        </pic:spPr>
                      </pic:pic>
                    </a:graphicData>
                  </a:graphic>
                </wp:inline>
              </w:drawing>
            </w:r>
          </w:p>
        </w:tc>
        <w:tc>
          <w:tcPr>
            <w:tcW w:w="5076" w:type="dxa"/>
          </w:tcPr>
          <w:p w:rsidR="00EB6AF7" w:rsidRDefault="00EB6AF7" w:rsidP="00E659BF">
            <w:pPr>
              <w:jc w:val="center"/>
            </w:pPr>
            <w:r>
              <w:rPr>
                <w:noProof/>
              </w:rPr>
              <w:drawing>
                <wp:inline distT="0" distB="0" distL="0" distR="0">
                  <wp:extent cx="3076687" cy="2377440"/>
                  <wp:effectExtent l="19050" t="0" r="9413"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juana 30Day Youth 10th.jpg"/>
                          <pic:cNvPicPr/>
                        </pic:nvPicPr>
                        <pic:blipFill>
                          <a:blip r:embed="rId51" cstate="print"/>
                          <a:stretch>
                            <a:fillRect/>
                          </a:stretch>
                        </pic:blipFill>
                        <pic:spPr>
                          <a:xfrm>
                            <a:off x="0" y="0"/>
                            <a:ext cx="3076687" cy="2377440"/>
                          </a:xfrm>
                          <a:prstGeom prst="rect">
                            <a:avLst/>
                          </a:prstGeom>
                        </pic:spPr>
                      </pic:pic>
                    </a:graphicData>
                  </a:graphic>
                </wp:inline>
              </w:drawing>
            </w:r>
          </w:p>
        </w:tc>
      </w:tr>
      <w:tr w:rsidR="00EB6AF7" w:rsidTr="00E659BF">
        <w:tc>
          <w:tcPr>
            <w:tcW w:w="10152" w:type="dxa"/>
            <w:gridSpan w:val="2"/>
          </w:tcPr>
          <w:p w:rsidR="00EB6AF7" w:rsidRDefault="00EB6AF7" w:rsidP="00EB6AF7">
            <w:pPr>
              <w:keepNext/>
              <w:jc w:val="center"/>
            </w:pPr>
            <w:r>
              <w:rPr>
                <w:noProof/>
              </w:rPr>
              <w:drawing>
                <wp:inline distT="0" distB="0" distL="0" distR="0">
                  <wp:extent cx="4733364" cy="3657600"/>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juana 30Day Youth 12th.jpg"/>
                          <pic:cNvPicPr/>
                        </pic:nvPicPr>
                        <pic:blipFill>
                          <a:blip r:embed="rId52" cstate="print"/>
                          <a:stretch>
                            <a:fillRect/>
                          </a:stretch>
                        </pic:blipFill>
                        <pic:spPr>
                          <a:xfrm>
                            <a:off x="0" y="0"/>
                            <a:ext cx="4733364" cy="3657600"/>
                          </a:xfrm>
                          <a:prstGeom prst="rect">
                            <a:avLst/>
                          </a:prstGeom>
                        </pic:spPr>
                      </pic:pic>
                    </a:graphicData>
                  </a:graphic>
                </wp:inline>
              </w:drawing>
            </w:r>
          </w:p>
        </w:tc>
      </w:tr>
    </w:tbl>
    <w:p w:rsidR="001323BE" w:rsidRDefault="00EB6AF7" w:rsidP="00EB6AF7">
      <w:pPr>
        <w:pStyle w:val="Caption"/>
      </w:pPr>
      <w:bookmarkStart w:id="67" w:name="_Ref357057495"/>
      <w:bookmarkStart w:id="68" w:name="_Toc362873988"/>
      <w:proofErr w:type="gramStart"/>
      <w:r>
        <w:t xml:space="preserve">Figure </w:t>
      </w:r>
      <w:r w:rsidR="00DD1BE8">
        <w:fldChar w:fldCharType="begin"/>
      </w:r>
      <w:r w:rsidR="00A034FF">
        <w:instrText xml:space="preserve"> SEQ Figure \* ARABIC </w:instrText>
      </w:r>
      <w:r w:rsidR="00DD1BE8">
        <w:fldChar w:fldCharType="separate"/>
      </w:r>
      <w:r w:rsidR="0002537D">
        <w:rPr>
          <w:noProof/>
        </w:rPr>
        <w:t>25</w:t>
      </w:r>
      <w:r w:rsidR="00DD1BE8">
        <w:rPr>
          <w:noProof/>
        </w:rPr>
        <w:fldChar w:fldCharType="end"/>
      </w:r>
      <w:bookmarkEnd w:id="67"/>
      <w:r>
        <w:t>.</w:t>
      </w:r>
      <w:proofErr w:type="gramEnd"/>
      <w:r>
        <w:t xml:space="preserve"> 30-day use rates for 8</w:t>
      </w:r>
      <w:r w:rsidRPr="00AE0B02">
        <w:rPr>
          <w:vertAlign w:val="superscript"/>
        </w:rPr>
        <w:t>th</w:t>
      </w:r>
      <w:r>
        <w:t>, 10</w:t>
      </w:r>
      <w:r w:rsidRPr="00AE0B02">
        <w:rPr>
          <w:vertAlign w:val="superscript"/>
        </w:rPr>
        <w:t>th</w:t>
      </w:r>
      <w:r>
        <w:t>, and 12</w:t>
      </w:r>
      <w:r w:rsidRPr="00AE0B02">
        <w:rPr>
          <w:vertAlign w:val="superscript"/>
        </w:rPr>
        <w:t>th</w:t>
      </w:r>
      <w:r>
        <w:t xml:space="preserve"> grade students by parish in Louisiana (Source: CCYS </w:t>
      </w:r>
      <w:r w:rsidR="00BC45C9">
        <w:t>2012</w:t>
      </w:r>
      <w:r>
        <w:t>)</w:t>
      </w:r>
      <w:bookmarkEnd w:id="68"/>
    </w:p>
    <w:p w:rsidR="007E418A" w:rsidRPr="007E418A" w:rsidRDefault="007E418A" w:rsidP="007E418A">
      <w:r>
        <w:t xml:space="preserve">The results from the CORE </w:t>
      </w:r>
      <w:r w:rsidR="000F39B8">
        <w:t>Alcohol and Drug S</w:t>
      </w:r>
      <w:r>
        <w:t xml:space="preserve">urvey also indicate that 30 day use has increased from 14.5% of college students to 16.3% of college students between 2009 and 2011. </w:t>
      </w:r>
    </w:p>
    <w:p w:rsidR="001323BE" w:rsidRDefault="007E2632" w:rsidP="007E2632">
      <w:pPr>
        <w:pStyle w:val="Heading3"/>
      </w:pPr>
      <w:bookmarkStart w:id="69" w:name="_Toc362873954"/>
      <w:r>
        <w:t>Adult Marijuana Indicators</w:t>
      </w:r>
      <w:bookmarkEnd w:id="69"/>
    </w:p>
    <w:p w:rsidR="007E2632" w:rsidRPr="007E2632" w:rsidRDefault="007E418A" w:rsidP="007E2632">
      <w:r>
        <w:t>The adult consumption rates for marijuana have remained fairly steady both within the US and in Louisiana. The rate in Louisiana has typically been about 1% lower than the national rate and neither has substantially changed since 2004 (</w:t>
      </w:r>
      <w:r w:rsidR="00DD1BE8">
        <w:fldChar w:fldCharType="begin"/>
      </w:r>
      <w:r>
        <w:instrText xml:space="preserve"> REF _Ref357057922 \h </w:instrText>
      </w:r>
      <w:r w:rsidR="00DD1BE8">
        <w:fldChar w:fldCharType="separate"/>
      </w:r>
      <w:r w:rsidR="0002537D">
        <w:t xml:space="preserve">Figure </w:t>
      </w:r>
      <w:r w:rsidR="0002537D">
        <w:rPr>
          <w:noProof/>
        </w:rPr>
        <w:t>26</w:t>
      </w:r>
      <w:r w:rsidR="00DD1BE8">
        <w:fldChar w:fldCharType="end"/>
      </w:r>
      <w:r>
        <w:t>).</w:t>
      </w:r>
    </w:p>
    <w:p w:rsidR="00595360" w:rsidRDefault="00D750A6" w:rsidP="00595360">
      <w:pPr>
        <w:keepNext/>
      </w:pPr>
      <w:r>
        <w:rPr>
          <w:noProof/>
        </w:rPr>
        <w:lastRenderedPageBreak/>
        <w:drawing>
          <wp:inline distT="0" distB="0" distL="0" distR="0">
            <wp:extent cx="5943600" cy="2377440"/>
            <wp:effectExtent l="0" t="0" r="0" b="381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2C6C72" w:rsidRDefault="00595360" w:rsidP="00595360">
      <w:pPr>
        <w:pStyle w:val="Caption"/>
      </w:pPr>
      <w:bookmarkStart w:id="70" w:name="_Ref357057922"/>
      <w:bookmarkStart w:id="71" w:name="_Toc362873989"/>
      <w:proofErr w:type="gramStart"/>
      <w:r>
        <w:t xml:space="preserve">Figure </w:t>
      </w:r>
      <w:r w:rsidR="00DD1BE8">
        <w:fldChar w:fldCharType="begin"/>
      </w:r>
      <w:r w:rsidR="00A034FF">
        <w:instrText xml:space="preserve"> SEQ Figure \* ARABIC </w:instrText>
      </w:r>
      <w:r w:rsidR="00DD1BE8">
        <w:fldChar w:fldCharType="separate"/>
      </w:r>
      <w:r w:rsidR="0002537D">
        <w:rPr>
          <w:noProof/>
        </w:rPr>
        <w:t>26</w:t>
      </w:r>
      <w:r w:rsidR="00DD1BE8">
        <w:rPr>
          <w:noProof/>
        </w:rPr>
        <w:fldChar w:fldCharType="end"/>
      </w:r>
      <w:bookmarkEnd w:id="70"/>
      <w:r>
        <w:t>.</w:t>
      </w:r>
      <w:proofErr w:type="gramEnd"/>
      <w:r>
        <w:t xml:space="preserve"> Percentage of adults indicating marijuana use within the past 30 days (Source: BRFSS)</w:t>
      </w:r>
      <w:bookmarkEnd w:id="71"/>
    </w:p>
    <w:p w:rsidR="00D750A6" w:rsidRDefault="007E418A" w:rsidP="006D1A5D">
      <w:r>
        <w:t>Similarly, the rate of individuals that meet the criteria for being drug abusers or drug dependent has remained approximately the same with a slight downward trend</w:t>
      </w:r>
      <w:r w:rsidR="00B23083">
        <w:t xml:space="preserve"> </w:t>
      </w:r>
      <w:r>
        <w:t>(</w:t>
      </w:r>
      <w:r w:rsidR="00DD1BE8">
        <w:fldChar w:fldCharType="begin"/>
      </w:r>
      <w:r>
        <w:instrText xml:space="preserve"> REF _Ref357058029 \h </w:instrText>
      </w:r>
      <w:r w:rsidR="00DD1BE8">
        <w:fldChar w:fldCharType="separate"/>
      </w:r>
      <w:r w:rsidR="0002537D">
        <w:t xml:space="preserve">Figure </w:t>
      </w:r>
      <w:r w:rsidR="0002537D">
        <w:rPr>
          <w:noProof/>
        </w:rPr>
        <w:t>27</w:t>
      </w:r>
      <w:r w:rsidR="00DD1BE8">
        <w:fldChar w:fldCharType="end"/>
      </w:r>
      <w:r>
        <w:t>).</w:t>
      </w:r>
    </w:p>
    <w:p w:rsidR="00595360" w:rsidRDefault="00D750A6" w:rsidP="00595360">
      <w:pPr>
        <w:keepNext/>
      </w:pPr>
      <w:r>
        <w:rPr>
          <w:noProof/>
        </w:rPr>
        <w:drawing>
          <wp:inline distT="0" distB="0" distL="0" distR="0">
            <wp:extent cx="5943600" cy="2377440"/>
            <wp:effectExtent l="0" t="0" r="0" b="381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D750A6" w:rsidRDefault="00595360" w:rsidP="00595360">
      <w:pPr>
        <w:pStyle w:val="Caption"/>
      </w:pPr>
      <w:bookmarkStart w:id="72" w:name="_Ref357058029"/>
      <w:bookmarkStart w:id="73" w:name="_Toc362873990"/>
      <w:proofErr w:type="gramStart"/>
      <w:r>
        <w:t xml:space="preserve">Figure </w:t>
      </w:r>
      <w:r w:rsidR="00DD1BE8">
        <w:fldChar w:fldCharType="begin"/>
      </w:r>
      <w:r w:rsidR="00A034FF">
        <w:instrText xml:space="preserve"> SEQ Figure \* ARABIC </w:instrText>
      </w:r>
      <w:r w:rsidR="00DD1BE8">
        <w:fldChar w:fldCharType="separate"/>
      </w:r>
      <w:r w:rsidR="0002537D">
        <w:rPr>
          <w:noProof/>
        </w:rPr>
        <w:t>27</w:t>
      </w:r>
      <w:r w:rsidR="00DD1BE8">
        <w:rPr>
          <w:noProof/>
        </w:rPr>
        <w:fldChar w:fldCharType="end"/>
      </w:r>
      <w:bookmarkEnd w:id="72"/>
      <w:r>
        <w:t>.</w:t>
      </w:r>
      <w:proofErr w:type="gramEnd"/>
      <w:r>
        <w:t xml:space="preserve"> Percentage of adults meeting the criteria for drug dependence or abuse (Source: BRFSS)</w:t>
      </w:r>
      <w:bookmarkEnd w:id="73"/>
    </w:p>
    <w:p w:rsidR="00D6733B" w:rsidRDefault="00D6733B">
      <w:pPr>
        <w:rPr>
          <w:b/>
          <w:color w:val="00457C"/>
          <w:sz w:val="28"/>
          <w:szCs w:val="28"/>
        </w:rPr>
      </w:pPr>
      <w:r>
        <w:br w:type="page"/>
      </w:r>
    </w:p>
    <w:p w:rsidR="008A55CB" w:rsidRDefault="00F27A45" w:rsidP="004C6D7E">
      <w:pPr>
        <w:pStyle w:val="Heading1"/>
      </w:pPr>
      <w:bookmarkStart w:id="74" w:name="_Toc362873955"/>
      <w:r>
        <w:lastRenderedPageBreak/>
        <w:t>Behavioral</w:t>
      </w:r>
      <w:r w:rsidR="004C6D7E">
        <w:t xml:space="preserve"> Health Indicators</w:t>
      </w:r>
      <w:bookmarkEnd w:id="74"/>
    </w:p>
    <w:p w:rsidR="00AB5222" w:rsidRDefault="00AB5222" w:rsidP="00AB5222">
      <w:r>
        <w:t>The field of substance abuse prevention has long recognized that there is substantial overlap between substance abuse and mental health issues. Behavioral health has been defined as a state of mental or emotional being or choices and actions that affect wellness. Substance abuse and use are one set of behavioral problems, but other</w:t>
      </w:r>
      <w:r w:rsidR="00844E9A">
        <w:t>s</w:t>
      </w:r>
      <w:r>
        <w:t xml:space="preserve"> also include serious psychological distress, suicide and mental illness.</w:t>
      </w:r>
      <w:r w:rsidR="001570E6">
        <w:t xml:space="preserve"> While long recognizing the co-occurrence of substance abuse and mental health issues, the field of prevention is also beginning to understand that the risk and protective factors that contribute to both also overlap substantially. </w:t>
      </w:r>
    </w:p>
    <w:p w:rsidR="001570E6" w:rsidRDefault="001570E6" w:rsidP="00AB5222">
      <w:r>
        <w:t xml:space="preserve">Information from the 2009 NSDUH can be used to illustrate this relationship. The survey found that 45.1 million adults in the US had suffered from some type of mental illness and 11 million had what is considered a serious mental illness. 37% of the adults with any mental illness used cigarettes compared to 22% of adults with no mental illness; adults with serious mental illness had even higher rates - 47%. </w:t>
      </w:r>
      <w:r w:rsidR="0077277A">
        <w:t>Adults with</w:t>
      </w:r>
      <w:r w:rsidR="00D6733B">
        <w:t xml:space="preserve"> </w:t>
      </w:r>
      <w:r>
        <w:t xml:space="preserve">mental illness are also more likely to binge drink (i.e., five or more drinks) or report heavy alcohol use. </w:t>
      </w:r>
      <w:r w:rsidR="00D6733B">
        <w:t xml:space="preserve"> Almost 26% of adults with a serious mental illness also have co-occurring substance dependence and nearly 43% of adults with a substance use disorder also have a co-occurring mental illness. </w:t>
      </w:r>
      <w:r>
        <w:t xml:space="preserve"> </w:t>
      </w:r>
    </w:p>
    <w:p w:rsidR="000F7F9E" w:rsidRPr="00AB5222" w:rsidRDefault="000F7F9E" w:rsidP="00AB5222">
      <w:r>
        <w:t xml:space="preserve">There is clearly a large overlap between mental health issues and substance use disorders. Treatment professionals have long recognized that it is difficult to address an addiction without treating the co-occurring mental health issue and the opposite also applies. Prevention professionals are beginning to incorporate substance abuse prevention at the same time as they are promoting mental health with a clear expectation that each influences the other. </w:t>
      </w:r>
      <w:r w:rsidR="007812EE">
        <w:t xml:space="preserve"> A growing body of evidence indicates that the risk and protective factors that relate to substance abuse also relate to mental health and that environmental strategies that are effective for preventing substance abuse are also effective for promoting mental health.</w:t>
      </w:r>
      <w:r w:rsidR="00EA11DF" w:rsidRPr="00EA11DF">
        <w:t xml:space="preserve"> </w:t>
      </w:r>
      <w:r w:rsidR="00EA11DF">
        <w:t>The information available in Louisiana related to mental health is somewhat more limited than the information for substance use. There are several indicators available for youth and adults related to depression, mental illness, and suicide presented.</w:t>
      </w:r>
    </w:p>
    <w:p w:rsidR="004C6D7E" w:rsidRDefault="00D268F1" w:rsidP="00D268F1">
      <w:pPr>
        <w:pStyle w:val="Heading2"/>
      </w:pPr>
      <w:bookmarkStart w:id="75" w:name="_Toc362873956"/>
      <w:r>
        <w:t>Mental Health</w:t>
      </w:r>
      <w:bookmarkEnd w:id="75"/>
    </w:p>
    <w:p w:rsidR="002E13A8" w:rsidRPr="002E13A8" w:rsidRDefault="0018359B" w:rsidP="002E13A8">
      <w:r>
        <w:t xml:space="preserve">Mental health is assessed in Louisiana youth every other year on a statewide basis via the Youth Risk Behavior </w:t>
      </w:r>
      <w:r w:rsidR="004D54FD">
        <w:t>Survey (YRBS)</w:t>
      </w:r>
      <w:r>
        <w:t>. Students are asked whether they have been feeling so sad for two or more weeks that they have stopped doing their usual activities. Students are also assessed</w:t>
      </w:r>
      <w:r w:rsidR="004476B7">
        <w:t xml:space="preserve"> regarding their feelings of depression on the CCYS in a similar fashion. Each of these indicators </w:t>
      </w:r>
      <w:r w:rsidR="00BA099E">
        <w:t xml:space="preserve">is </w:t>
      </w:r>
      <w:r w:rsidR="004476B7">
        <w:t>presented here</w:t>
      </w:r>
      <w:r w:rsidR="00BA099E">
        <w:t>;</w:t>
      </w:r>
      <w:r w:rsidR="004476B7">
        <w:t xml:space="preserve"> while both are available on a statewide basis, only the depressive symptoms from the CCYS are available at the parish level.</w:t>
      </w:r>
    </w:p>
    <w:p w:rsidR="0061415F" w:rsidRDefault="002E13A8" w:rsidP="002E13A8">
      <w:pPr>
        <w:pStyle w:val="Heading3"/>
      </w:pPr>
      <w:bookmarkStart w:id="76" w:name="_Toc362873957"/>
      <w:r>
        <w:t>Youth Mental Health Indicators</w:t>
      </w:r>
      <w:bookmarkEnd w:id="76"/>
    </w:p>
    <w:p w:rsidR="00B92E10" w:rsidRPr="00B92E10" w:rsidRDefault="00DD1BE8" w:rsidP="00B92E10">
      <w:r>
        <w:fldChar w:fldCharType="begin"/>
      </w:r>
      <w:r w:rsidR="00B92E10">
        <w:instrText xml:space="preserve"> REF _Ref361693775 \h </w:instrText>
      </w:r>
      <w:r>
        <w:fldChar w:fldCharType="separate"/>
      </w:r>
      <w:r w:rsidR="0002537D">
        <w:t xml:space="preserve">Figure </w:t>
      </w:r>
      <w:r w:rsidR="0002537D">
        <w:rPr>
          <w:noProof/>
        </w:rPr>
        <w:t>28</w:t>
      </w:r>
      <w:r>
        <w:fldChar w:fldCharType="end"/>
      </w:r>
      <w:r w:rsidR="00B92E10">
        <w:t xml:space="preserve"> displays the percentages of students that have reported that they were feeling so sad for two weeks or more that they stopped doing their usual activities. The rates in Louisiana were slightly higher than the national rates and have remained fairly stable </w:t>
      </w:r>
      <w:r w:rsidR="004A6F6F">
        <w:t xml:space="preserve">over </w:t>
      </w:r>
      <w:r w:rsidR="00B92E10">
        <w:t>the last 4 years of available data. Nearly one third of high school students in the state have reported “feeling sad” for two or more weeks.</w:t>
      </w:r>
    </w:p>
    <w:p w:rsidR="004821AE" w:rsidRDefault="004821AE" w:rsidP="004821AE">
      <w:pPr>
        <w:keepNext/>
      </w:pPr>
      <w:r>
        <w:rPr>
          <w:noProof/>
        </w:rPr>
        <w:lastRenderedPageBreak/>
        <w:drawing>
          <wp:inline distT="0" distB="0" distL="0" distR="0">
            <wp:extent cx="5943600" cy="2377440"/>
            <wp:effectExtent l="0" t="0" r="19050" b="2286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4821AE" w:rsidRDefault="004821AE" w:rsidP="004821AE">
      <w:pPr>
        <w:pStyle w:val="Caption"/>
      </w:pPr>
      <w:bookmarkStart w:id="77" w:name="_Ref361693775"/>
      <w:bookmarkStart w:id="78" w:name="_Toc362873991"/>
      <w:proofErr w:type="gramStart"/>
      <w:r>
        <w:t xml:space="preserve">Figure </w:t>
      </w:r>
      <w:r w:rsidR="00DD1BE8">
        <w:fldChar w:fldCharType="begin"/>
      </w:r>
      <w:r w:rsidR="00A034FF">
        <w:instrText xml:space="preserve"> SEQ Figure \* ARABIC </w:instrText>
      </w:r>
      <w:r w:rsidR="00DD1BE8">
        <w:fldChar w:fldCharType="separate"/>
      </w:r>
      <w:r w:rsidR="0002537D">
        <w:rPr>
          <w:noProof/>
        </w:rPr>
        <w:t>28</w:t>
      </w:r>
      <w:r w:rsidR="00DD1BE8">
        <w:rPr>
          <w:noProof/>
        </w:rPr>
        <w:fldChar w:fldCharType="end"/>
      </w:r>
      <w:bookmarkEnd w:id="77"/>
      <w:r>
        <w:t>.</w:t>
      </w:r>
      <w:proofErr w:type="gramEnd"/>
      <w:r>
        <w:t xml:space="preserve"> </w:t>
      </w:r>
      <w:r w:rsidRPr="00AA69F9">
        <w:t>Percentage of Students in 9th-12th Grade Who Reported Feeling So Sad for Two Weeks or More that They Stopped Doing Usual Activities in the Past Year : 2007-2011</w:t>
      </w:r>
      <w:r>
        <w:t xml:space="preserve"> (Source: YRBS)</w:t>
      </w:r>
      <w:bookmarkEnd w:id="78"/>
    </w:p>
    <w:p w:rsidR="007E167A" w:rsidRDefault="00B92E10" w:rsidP="007E167A">
      <w:r>
        <w:t xml:space="preserve">Additional data is available from the CCYS for students that answer questions that indicate they have symptoms of depression shown in </w:t>
      </w:r>
      <w:r w:rsidR="00DD1BE8">
        <w:fldChar w:fldCharType="begin"/>
      </w:r>
      <w:r>
        <w:instrText xml:space="preserve"> REF _Ref361694089 \h </w:instrText>
      </w:r>
      <w:r w:rsidR="00DD1BE8">
        <w:fldChar w:fldCharType="separate"/>
      </w:r>
      <w:r w:rsidR="0002537D">
        <w:t xml:space="preserve">Figure </w:t>
      </w:r>
      <w:r w:rsidR="0002537D">
        <w:rPr>
          <w:noProof/>
        </w:rPr>
        <w:t>29</w:t>
      </w:r>
      <w:r w:rsidR="00DD1BE8">
        <w:fldChar w:fldCharType="end"/>
      </w:r>
      <w:r>
        <w:t>. These rates are substantially lower than the rates of students feeling sad, but the symptoms are more strongly associated with depression. While there has been some variability across reported grades and years, there does appear to be a downward trend in students displaying symptoms of depression.</w:t>
      </w:r>
    </w:p>
    <w:p w:rsidR="00BB03B2" w:rsidRDefault="007E167A" w:rsidP="00BB03B2">
      <w:pPr>
        <w:keepNext/>
      </w:pPr>
      <w:r>
        <w:rPr>
          <w:noProof/>
        </w:rPr>
        <w:drawing>
          <wp:inline distT="0" distB="0" distL="0" distR="0">
            <wp:extent cx="5943600" cy="2377440"/>
            <wp:effectExtent l="0" t="0" r="19050" b="2286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7E167A" w:rsidRDefault="00BB03B2" w:rsidP="00BB03B2">
      <w:pPr>
        <w:pStyle w:val="Caption"/>
      </w:pPr>
      <w:bookmarkStart w:id="79" w:name="_Ref361694089"/>
      <w:bookmarkStart w:id="80" w:name="_Toc362873992"/>
      <w:proofErr w:type="gramStart"/>
      <w:r>
        <w:t xml:space="preserve">Figure </w:t>
      </w:r>
      <w:r w:rsidR="00DD1BE8">
        <w:fldChar w:fldCharType="begin"/>
      </w:r>
      <w:r w:rsidR="00A034FF">
        <w:instrText xml:space="preserve"> SEQ Figure \* ARABIC </w:instrText>
      </w:r>
      <w:r w:rsidR="00DD1BE8">
        <w:fldChar w:fldCharType="separate"/>
      </w:r>
      <w:r w:rsidR="0002537D">
        <w:rPr>
          <w:noProof/>
        </w:rPr>
        <w:t>29</w:t>
      </w:r>
      <w:r w:rsidR="00DD1BE8">
        <w:rPr>
          <w:noProof/>
        </w:rPr>
        <w:fldChar w:fldCharType="end"/>
      </w:r>
      <w:bookmarkEnd w:id="79"/>
      <w:r>
        <w:t>.</w:t>
      </w:r>
      <w:proofErr w:type="gramEnd"/>
      <w:r>
        <w:t xml:space="preserve"> </w:t>
      </w:r>
      <w:r w:rsidRPr="006F1DF8">
        <w:t>Percentage of youth categorized as high in depressive symptoms.</w:t>
      </w:r>
      <w:r>
        <w:t xml:space="preserve"> (Source: CCYS)</w:t>
      </w:r>
      <w:bookmarkEnd w:id="80"/>
    </w:p>
    <w:p w:rsidR="000A6D72" w:rsidRPr="000A6D72" w:rsidRDefault="00DD1BE8" w:rsidP="000A6D72">
      <w:r>
        <w:fldChar w:fldCharType="begin"/>
      </w:r>
      <w:r w:rsidR="00F43FC3">
        <w:instrText xml:space="preserve"> REF _Ref361694105 \h </w:instrText>
      </w:r>
      <w:r>
        <w:fldChar w:fldCharType="separate"/>
      </w:r>
      <w:r w:rsidR="0002537D">
        <w:t xml:space="preserve">Table </w:t>
      </w:r>
      <w:r w:rsidR="0002537D">
        <w:rPr>
          <w:noProof/>
        </w:rPr>
        <w:t>4</w:t>
      </w:r>
      <w:r>
        <w:fldChar w:fldCharType="end"/>
      </w:r>
      <w:r w:rsidR="00F43FC3">
        <w:t xml:space="preserve"> displays the depressive symptoms over the last five administrations of the CCYS for 12</w:t>
      </w:r>
      <w:r w:rsidR="00F43FC3" w:rsidRPr="00F43FC3">
        <w:rPr>
          <w:vertAlign w:val="superscript"/>
        </w:rPr>
        <w:t>th</w:t>
      </w:r>
      <w:r w:rsidR="00F43FC3">
        <w:t xml:space="preserve"> grade students in Louisiana. The rates vary widely across parishes and across years. For example, the highest reported rate was 12.5% of students in East Carroll in 2008, but in 2006 it was reported that only 2.2% of 12</w:t>
      </w:r>
      <w:r w:rsidR="00F43FC3" w:rsidRPr="00F43FC3">
        <w:rPr>
          <w:vertAlign w:val="superscript"/>
        </w:rPr>
        <w:t>th</w:t>
      </w:r>
      <w:r w:rsidR="00F43FC3">
        <w:t xml:space="preserve"> grade students</w:t>
      </w:r>
      <w:r w:rsidR="00C4472D">
        <w:t xml:space="preserve"> were high in symptoms. Some parishes appear to have increasing rates while others are decreasing. It is important for each community to inspect their own data to ensure that local trends and environmental factors can be properly assessed to ensure planning for prevention services meets community needs.</w:t>
      </w:r>
    </w:p>
    <w:p w:rsidR="000A6D72" w:rsidRDefault="000A6D72" w:rsidP="000A6D72">
      <w:pPr>
        <w:pStyle w:val="Caption"/>
        <w:keepNext/>
      </w:pPr>
      <w:bookmarkStart w:id="81" w:name="_Ref361694105"/>
      <w:proofErr w:type="gramStart"/>
      <w:r>
        <w:lastRenderedPageBreak/>
        <w:t xml:space="preserve">Table </w:t>
      </w:r>
      <w:r w:rsidR="00DD1BE8">
        <w:fldChar w:fldCharType="begin"/>
      </w:r>
      <w:r w:rsidR="00A034FF">
        <w:instrText xml:space="preserve"> SEQ Table \* ARABIC </w:instrText>
      </w:r>
      <w:r w:rsidR="00DD1BE8">
        <w:fldChar w:fldCharType="separate"/>
      </w:r>
      <w:r w:rsidR="0002537D">
        <w:rPr>
          <w:noProof/>
        </w:rPr>
        <w:t>4</w:t>
      </w:r>
      <w:r w:rsidR="00DD1BE8">
        <w:rPr>
          <w:noProof/>
        </w:rPr>
        <w:fldChar w:fldCharType="end"/>
      </w:r>
      <w:bookmarkEnd w:id="81"/>
      <w:r>
        <w:t>.</w:t>
      </w:r>
      <w:proofErr w:type="gramEnd"/>
      <w:r>
        <w:t xml:space="preserve"> Parish level percentage of 12th grade students categorized as high in depressive symptoms, 2004-2012 (Source: CCYS)</w:t>
      </w:r>
    </w:p>
    <w:tbl>
      <w:tblPr>
        <w:tblStyle w:val="TableGrid"/>
        <w:tblW w:w="5000" w:type="pct"/>
        <w:tblLook w:val="04A0" w:firstRow="1" w:lastRow="0" w:firstColumn="1" w:lastColumn="0" w:noHBand="0" w:noVBand="1"/>
      </w:tblPr>
      <w:tblGrid>
        <w:gridCol w:w="3696"/>
        <w:gridCol w:w="1292"/>
        <w:gridCol w:w="1291"/>
        <w:gridCol w:w="1291"/>
        <w:gridCol w:w="1291"/>
        <w:gridCol w:w="1291"/>
      </w:tblGrid>
      <w:tr w:rsidR="004E41EF" w:rsidRPr="004E41EF" w:rsidTr="004E41EF">
        <w:trPr>
          <w:cantSplit/>
          <w:trHeight w:val="300"/>
          <w:tblHeader/>
        </w:trPr>
        <w:tc>
          <w:tcPr>
            <w:tcW w:w="5000" w:type="pct"/>
            <w:gridSpan w:val="6"/>
            <w:shd w:val="clear" w:color="auto" w:fill="00457C"/>
            <w:noWrap/>
            <w:hideMark/>
          </w:tcPr>
          <w:p w:rsidR="004E41EF" w:rsidRPr="004E41EF" w:rsidRDefault="004E41EF" w:rsidP="004E41EF">
            <w:pPr>
              <w:jc w:val="center"/>
              <w:rPr>
                <w:rFonts w:eastAsia="Times New Roman" w:cs="Times New Roman"/>
                <w:color w:val="FFFFFF" w:themeColor="background1"/>
                <w:sz w:val="20"/>
                <w:szCs w:val="20"/>
              </w:rPr>
            </w:pPr>
            <w:r w:rsidRPr="004E41EF">
              <w:rPr>
                <w:rFonts w:eastAsia="Times New Roman" w:cs="Times New Roman"/>
                <w:color w:val="FFFFFF" w:themeColor="background1"/>
                <w:sz w:val="20"/>
                <w:szCs w:val="20"/>
              </w:rPr>
              <w:t>12th Grade</w:t>
            </w:r>
          </w:p>
        </w:tc>
      </w:tr>
      <w:tr w:rsidR="004E41EF" w:rsidRPr="004E41EF" w:rsidTr="004E41EF">
        <w:trPr>
          <w:cantSplit/>
          <w:trHeight w:val="300"/>
          <w:tblHeader/>
        </w:trPr>
        <w:tc>
          <w:tcPr>
            <w:tcW w:w="1820" w:type="pct"/>
            <w:shd w:val="clear" w:color="auto" w:fill="00457C"/>
            <w:noWrap/>
            <w:hideMark/>
          </w:tcPr>
          <w:p w:rsidR="004E41EF" w:rsidRPr="004E41EF" w:rsidRDefault="004E41EF" w:rsidP="004E41EF">
            <w:pPr>
              <w:rPr>
                <w:rFonts w:eastAsia="Times New Roman" w:cs="Times New Roman"/>
                <w:color w:val="FFFFFF" w:themeColor="background1"/>
                <w:sz w:val="20"/>
                <w:szCs w:val="20"/>
              </w:rPr>
            </w:pPr>
            <w:r w:rsidRPr="004E41EF">
              <w:rPr>
                <w:rFonts w:eastAsia="Times New Roman" w:cs="Times New Roman"/>
                <w:color w:val="FFFFFF" w:themeColor="background1"/>
                <w:sz w:val="20"/>
                <w:szCs w:val="20"/>
              </w:rPr>
              <w:t>Parish</w:t>
            </w:r>
          </w:p>
        </w:tc>
        <w:tc>
          <w:tcPr>
            <w:tcW w:w="636" w:type="pct"/>
            <w:shd w:val="clear" w:color="auto" w:fill="00457C"/>
            <w:noWrap/>
            <w:vAlign w:val="center"/>
            <w:hideMark/>
          </w:tcPr>
          <w:p w:rsidR="004E41EF" w:rsidRPr="004E41EF" w:rsidRDefault="004E41EF" w:rsidP="004E41EF">
            <w:pPr>
              <w:jc w:val="center"/>
              <w:rPr>
                <w:rFonts w:eastAsia="Times New Roman" w:cs="Times New Roman"/>
                <w:color w:val="FFFFFF" w:themeColor="background1"/>
                <w:sz w:val="20"/>
                <w:szCs w:val="20"/>
              </w:rPr>
            </w:pPr>
            <w:r w:rsidRPr="004E41EF">
              <w:rPr>
                <w:rFonts w:eastAsia="Times New Roman" w:cs="Times New Roman"/>
                <w:color w:val="FFFFFF" w:themeColor="background1"/>
                <w:sz w:val="20"/>
                <w:szCs w:val="20"/>
              </w:rPr>
              <w:t>2004</w:t>
            </w:r>
          </w:p>
        </w:tc>
        <w:tc>
          <w:tcPr>
            <w:tcW w:w="636" w:type="pct"/>
            <w:shd w:val="clear" w:color="auto" w:fill="00457C"/>
            <w:noWrap/>
            <w:vAlign w:val="center"/>
            <w:hideMark/>
          </w:tcPr>
          <w:p w:rsidR="004E41EF" w:rsidRPr="004E41EF" w:rsidRDefault="004E41EF" w:rsidP="004E41EF">
            <w:pPr>
              <w:jc w:val="center"/>
              <w:rPr>
                <w:rFonts w:eastAsia="Times New Roman" w:cs="Times New Roman"/>
                <w:color w:val="FFFFFF" w:themeColor="background1"/>
                <w:sz w:val="20"/>
                <w:szCs w:val="20"/>
              </w:rPr>
            </w:pPr>
            <w:r w:rsidRPr="004E41EF">
              <w:rPr>
                <w:rFonts w:eastAsia="Times New Roman" w:cs="Times New Roman"/>
                <w:color w:val="FFFFFF" w:themeColor="background1"/>
                <w:sz w:val="20"/>
                <w:szCs w:val="20"/>
              </w:rPr>
              <w:t>2006</w:t>
            </w:r>
          </w:p>
        </w:tc>
        <w:tc>
          <w:tcPr>
            <w:tcW w:w="636" w:type="pct"/>
            <w:shd w:val="clear" w:color="auto" w:fill="00457C"/>
            <w:noWrap/>
            <w:vAlign w:val="center"/>
            <w:hideMark/>
          </w:tcPr>
          <w:p w:rsidR="004E41EF" w:rsidRPr="004E41EF" w:rsidRDefault="004E41EF" w:rsidP="004E41EF">
            <w:pPr>
              <w:jc w:val="center"/>
              <w:rPr>
                <w:rFonts w:eastAsia="Times New Roman" w:cs="Times New Roman"/>
                <w:color w:val="FFFFFF" w:themeColor="background1"/>
                <w:sz w:val="20"/>
                <w:szCs w:val="20"/>
              </w:rPr>
            </w:pPr>
            <w:r w:rsidRPr="004E41EF">
              <w:rPr>
                <w:rFonts w:eastAsia="Times New Roman" w:cs="Times New Roman"/>
                <w:color w:val="FFFFFF" w:themeColor="background1"/>
                <w:sz w:val="20"/>
                <w:szCs w:val="20"/>
              </w:rPr>
              <w:t>2008</w:t>
            </w:r>
          </w:p>
        </w:tc>
        <w:tc>
          <w:tcPr>
            <w:tcW w:w="636" w:type="pct"/>
            <w:shd w:val="clear" w:color="auto" w:fill="00457C"/>
            <w:noWrap/>
            <w:vAlign w:val="center"/>
            <w:hideMark/>
          </w:tcPr>
          <w:p w:rsidR="004E41EF" w:rsidRPr="004E41EF" w:rsidRDefault="004E41EF" w:rsidP="004E41EF">
            <w:pPr>
              <w:jc w:val="center"/>
              <w:rPr>
                <w:rFonts w:eastAsia="Times New Roman" w:cs="Times New Roman"/>
                <w:color w:val="FFFFFF" w:themeColor="background1"/>
                <w:sz w:val="20"/>
                <w:szCs w:val="20"/>
              </w:rPr>
            </w:pPr>
            <w:r w:rsidRPr="004E41EF">
              <w:rPr>
                <w:rFonts w:eastAsia="Times New Roman" w:cs="Times New Roman"/>
                <w:color w:val="FFFFFF" w:themeColor="background1"/>
                <w:sz w:val="20"/>
                <w:szCs w:val="20"/>
              </w:rPr>
              <w:t>2010</w:t>
            </w:r>
          </w:p>
        </w:tc>
        <w:tc>
          <w:tcPr>
            <w:tcW w:w="636" w:type="pct"/>
            <w:shd w:val="clear" w:color="auto" w:fill="00457C"/>
            <w:noWrap/>
            <w:vAlign w:val="center"/>
            <w:hideMark/>
          </w:tcPr>
          <w:p w:rsidR="004E41EF" w:rsidRPr="004E41EF" w:rsidRDefault="004E41EF" w:rsidP="004E41EF">
            <w:pPr>
              <w:jc w:val="center"/>
              <w:rPr>
                <w:rFonts w:eastAsia="Times New Roman" w:cs="Times New Roman"/>
                <w:color w:val="FFFFFF" w:themeColor="background1"/>
                <w:sz w:val="20"/>
                <w:szCs w:val="20"/>
              </w:rPr>
            </w:pPr>
            <w:r w:rsidRPr="004E41EF">
              <w:rPr>
                <w:rFonts w:eastAsia="Times New Roman" w:cs="Times New Roman"/>
                <w:color w:val="FFFFFF" w:themeColor="background1"/>
                <w:sz w:val="20"/>
                <w:szCs w:val="20"/>
              </w:rPr>
              <w:t>2012</w:t>
            </w:r>
          </w:p>
        </w:tc>
      </w:tr>
      <w:tr w:rsidR="004E41EF" w:rsidRPr="004E41EF" w:rsidTr="004E41EF">
        <w:trPr>
          <w:trHeight w:val="300"/>
        </w:trPr>
        <w:tc>
          <w:tcPr>
            <w:tcW w:w="1820" w:type="pct"/>
            <w:noWrap/>
            <w:vAlign w:val="center"/>
            <w:hideMark/>
          </w:tcPr>
          <w:p w:rsidR="004E41EF" w:rsidRPr="004E41EF" w:rsidRDefault="004E41EF" w:rsidP="004E41EF">
            <w:pPr>
              <w:rPr>
                <w:rFonts w:eastAsia="Times New Roman" w:cs="Times New Roman"/>
                <w:color w:val="000000"/>
                <w:sz w:val="20"/>
                <w:szCs w:val="20"/>
              </w:rPr>
            </w:pPr>
            <w:r w:rsidRPr="004E41EF">
              <w:rPr>
                <w:rFonts w:eastAsia="Times New Roman" w:cs="Times New Roman"/>
                <w:color w:val="000000"/>
                <w:sz w:val="20"/>
                <w:szCs w:val="20"/>
              </w:rPr>
              <w:t>Acadia</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4.8</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1.9</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3.4</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1.6</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1.7</w:t>
            </w:r>
          </w:p>
        </w:tc>
      </w:tr>
      <w:tr w:rsidR="004E41EF" w:rsidRPr="004E41EF" w:rsidTr="004E41EF">
        <w:trPr>
          <w:trHeight w:val="300"/>
        </w:trPr>
        <w:tc>
          <w:tcPr>
            <w:tcW w:w="1820" w:type="pct"/>
            <w:noWrap/>
            <w:vAlign w:val="center"/>
            <w:hideMark/>
          </w:tcPr>
          <w:p w:rsidR="004E41EF" w:rsidRPr="004E41EF" w:rsidRDefault="004E41EF" w:rsidP="004E41EF">
            <w:pPr>
              <w:rPr>
                <w:rFonts w:eastAsia="Times New Roman" w:cs="Times New Roman"/>
                <w:color w:val="000000"/>
                <w:sz w:val="20"/>
                <w:szCs w:val="20"/>
              </w:rPr>
            </w:pPr>
            <w:r w:rsidRPr="004E41EF">
              <w:rPr>
                <w:rFonts w:eastAsia="Times New Roman" w:cs="Times New Roman"/>
                <w:color w:val="000000"/>
                <w:sz w:val="20"/>
                <w:szCs w:val="20"/>
              </w:rPr>
              <w:t>Allen</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3.1</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4.7</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2.4</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2.6</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2.6</w:t>
            </w:r>
          </w:p>
        </w:tc>
      </w:tr>
      <w:tr w:rsidR="004E41EF" w:rsidRPr="004E41EF" w:rsidTr="004E41EF">
        <w:trPr>
          <w:trHeight w:val="300"/>
        </w:trPr>
        <w:tc>
          <w:tcPr>
            <w:tcW w:w="1820" w:type="pct"/>
            <w:noWrap/>
            <w:vAlign w:val="center"/>
            <w:hideMark/>
          </w:tcPr>
          <w:p w:rsidR="004E41EF" w:rsidRPr="004E41EF" w:rsidRDefault="004E41EF" w:rsidP="004E41EF">
            <w:pPr>
              <w:rPr>
                <w:rFonts w:eastAsia="Times New Roman" w:cs="Times New Roman"/>
                <w:color w:val="000000"/>
                <w:sz w:val="20"/>
                <w:szCs w:val="20"/>
              </w:rPr>
            </w:pPr>
            <w:r w:rsidRPr="004E41EF">
              <w:rPr>
                <w:rFonts w:eastAsia="Times New Roman" w:cs="Times New Roman"/>
                <w:color w:val="000000"/>
                <w:sz w:val="20"/>
                <w:szCs w:val="20"/>
              </w:rPr>
              <w:t>Ascension</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3.3</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2.6</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2.4</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0.9</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1.5</w:t>
            </w:r>
          </w:p>
        </w:tc>
      </w:tr>
      <w:tr w:rsidR="004E41EF" w:rsidRPr="004E41EF" w:rsidTr="004E41EF">
        <w:trPr>
          <w:trHeight w:val="300"/>
        </w:trPr>
        <w:tc>
          <w:tcPr>
            <w:tcW w:w="1820" w:type="pct"/>
            <w:noWrap/>
            <w:vAlign w:val="center"/>
            <w:hideMark/>
          </w:tcPr>
          <w:p w:rsidR="004E41EF" w:rsidRPr="004E41EF" w:rsidRDefault="004E41EF" w:rsidP="004E41EF">
            <w:pPr>
              <w:rPr>
                <w:rFonts w:eastAsia="Times New Roman" w:cs="Times New Roman"/>
                <w:color w:val="000000"/>
                <w:sz w:val="20"/>
                <w:szCs w:val="20"/>
              </w:rPr>
            </w:pPr>
            <w:r w:rsidRPr="004E41EF">
              <w:rPr>
                <w:rFonts w:eastAsia="Times New Roman" w:cs="Times New Roman"/>
                <w:color w:val="000000"/>
                <w:sz w:val="20"/>
                <w:szCs w:val="20"/>
              </w:rPr>
              <w:t>Assumption</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2.5</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3.1</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3.2</w:t>
            </w:r>
          </w:p>
        </w:tc>
        <w:tc>
          <w:tcPr>
            <w:tcW w:w="636" w:type="pct"/>
            <w:noWrap/>
            <w:vAlign w:val="center"/>
            <w:hideMark/>
          </w:tcPr>
          <w:p w:rsidR="004E41EF" w:rsidRPr="004E41EF" w:rsidRDefault="002368C3" w:rsidP="004E41EF">
            <w:pPr>
              <w:jc w:val="center"/>
              <w:rPr>
                <w:rFonts w:eastAsia="Times New Roman" w:cs="Times New Roman"/>
                <w:color w:val="000000"/>
                <w:sz w:val="20"/>
                <w:szCs w:val="20"/>
              </w:rPr>
            </w:pPr>
            <w:r>
              <w:rPr>
                <w:rFonts w:eastAsia="Times New Roman" w:cs="Times New Roman"/>
                <w:color w:val="000000"/>
                <w:sz w:val="20"/>
                <w:szCs w:val="20"/>
              </w:rPr>
              <w:t>NA</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3.6</w:t>
            </w:r>
          </w:p>
        </w:tc>
      </w:tr>
      <w:tr w:rsidR="004E41EF" w:rsidRPr="004E41EF" w:rsidTr="004E41EF">
        <w:trPr>
          <w:trHeight w:val="300"/>
        </w:trPr>
        <w:tc>
          <w:tcPr>
            <w:tcW w:w="1820" w:type="pct"/>
            <w:noWrap/>
            <w:vAlign w:val="center"/>
            <w:hideMark/>
          </w:tcPr>
          <w:p w:rsidR="004E41EF" w:rsidRPr="004E41EF" w:rsidRDefault="004E41EF" w:rsidP="004E41EF">
            <w:pPr>
              <w:rPr>
                <w:rFonts w:eastAsia="Times New Roman" w:cs="Times New Roman"/>
                <w:color w:val="000000"/>
                <w:sz w:val="20"/>
                <w:szCs w:val="20"/>
              </w:rPr>
            </w:pPr>
            <w:r w:rsidRPr="004E41EF">
              <w:rPr>
                <w:rFonts w:eastAsia="Times New Roman" w:cs="Times New Roman"/>
                <w:color w:val="000000"/>
                <w:sz w:val="20"/>
                <w:szCs w:val="20"/>
              </w:rPr>
              <w:t>Avoyelles</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4.2</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3.1</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5.5</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0.9</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1.8</w:t>
            </w:r>
          </w:p>
        </w:tc>
      </w:tr>
      <w:tr w:rsidR="004E41EF" w:rsidRPr="004E41EF" w:rsidTr="004E41EF">
        <w:trPr>
          <w:trHeight w:val="300"/>
        </w:trPr>
        <w:tc>
          <w:tcPr>
            <w:tcW w:w="1820" w:type="pct"/>
            <w:noWrap/>
            <w:vAlign w:val="center"/>
            <w:hideMark/>
          </w:tcPr>
          <w:p w:rsidR="004E41EF" w:rsidRPr="004E41EF" w:rsidRDefault="004E41EF" w:rsidP="004E41EF">
            <w:pPr>
              <w:rPr>
                <w:rFonts w:eastAsia="Times New Roman" w:cs="Times New Roman"/>
                <w:color w:val="000000"/>
                <w:sz w:val="20"/>
                <w:szCs w:val="20"/>
              </w:rPr>
            </w:pPr>
            <w:r w:rsidRPr="004E41EF">
              <w:rPr>
                <w:rFonts w:eastAsia="Times New Roman" w:cs="Times New Roman"/>
                <w:color w:val="000000"/>
                <w:sz w:val="20"/>
                <w:szCs w:val="20"/>
              </w:rPr>
              <w:t>Beauregard</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1.5</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4.3</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4.9</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1.2</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2.3</w:t>
            </w:r>
          </w:p>
        </w:tc>
      </w:tr>
      <w:tr w:rsidR="004E41EF" w:rsidRPr="004E41EF" w:rsidTr="004E41EF">
        <w:trPr>
          <w:trHeight w:val="300"/>
        </w:trPr>
        <w:tc>
          <w:tcPr>
            <w:tcW w:w="1820" w:type="pct"/>
            <w:noWrap/>
            <w:vAlign w:val="center"/>
            <w:hideMark/>
          </w:tcPr>
          <w:p w:rsidR="004E41EF" w:rsidRPr="004E41EF" w:rsidRDefault="004E41EF" w:rsidP="004E41EF">
            <w:pPr>
              <w:rPr>
                <w:rFonts w:eastAsia="Times New Roman" w:cs="Times New Roman"/>
                <w:color w:val="000000"/>
                <w:sz w:val="20"/>
                <w:szCs w:val="20"/>
              </w:rPr>
            </w:pPr>
            <w:r w:rsidRPr="004E41EF">
              <w:rPr>
                <w:rFonts w:eastAsia="Times New Roman" w:cs="Times New Roman"/>
                <w:color w:val="000000"/>
                <w:sz w:val="20"/>
                <w:szCs w:val="20"/>
              </w:rPr>
              <w:t>Bienville</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0.0</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1.8</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6.7</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0.0</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3.1</w:t>
            </w:r>
          </w:p>
        </w:tc>
      </w:tr>
      <w:tr w:rsidR="004E41EF" w:rsidRPr="004E41EF" w:rsidTr="004E41EF">
        <w:trPr>
          <w:trHeight w:val="300"/>
        </w:trPr>
        <w:tc>
          <w:tcPr>
            <w:tcW w:w="1820" w:type="pct"/>
            <w:noWrap/>
            <w:vAlign w:val="center"/>
            <w:hideMark/>
          </w:tcPr>
          <w:p w:rsidR="004E41EF" w:rsidRPr="004E41EF" w:rsidRDefault="004E41EF" w:rsidP="004E41EF">
            <w:pPr>
              <w:rPr>
                <w:rFonts w:eastAsia="Times New Roman" w:cs="Times New Roman"/>
                <w:color w:val="000000"/>
                <w:sz w:val="20"/>
                <w:szCs w:val="20"/>
              </w:rPr>
            </w:pPr>
            <w:r w:rsidRPr="004E41EF">
              <w:rPr>
                <w:rFonts w:eastAsia="Times New Roman" w:cs="Times New Roman"/>
                <w:color w:val="000000"/>
                <w:sz w:val="20"/>
                <w:szCs w:val="20"/>
              </w:rPr>
              <w:t>Bossier</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2.1</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2.8</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2.0</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2.1</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1.8</w:t>
            </w:r>
          </w:p>
        </w:tc>
      </w:tr>
      <w:tr w:rsidR="004E41EF" w:rsidRPr="004E41EF" w:rsidTr="004E41EF">
        <w:trPr>
          <w:trHeight w:val="300"/>
        </w:trPr>
        <w:tc>
          <w:tcPr>
            <w:tcW w:w="1820" w:type="pct"/>
            <w:noWrap/>
            <w:vAlign w:val="center"/>
            <w:hideMark/>
          </w:tcPr>
          <w:p w:rsidR="004E41EF" w:rsidRPr="004E41EF" w:rsidRDefault="004E41EF" w:rsidP="004E41EF">
            <w:pPr>
              <w:rPr>
                <w:rFonts w:eastAsia="Times New Roman" w:cs="Times New Roman"/>
                <w:color w:val="000000"/>
                <w:sz w:val="20"/>
                <w:szCs w:val="20"/>
              </w:rPr>
            </w:pPr>
            <w:r w:rsidRPr="004E41EF">
              <w:rPr>
                <w:rFonts w:eastAsia="Times New Roman" w:cs="Times New Roman"/>
                <w:color w:val="000000"/>
                <w:sz w:val="20"/>
                <w:szCs w:val="20"/>
              </w:rPr>
              <w:t>Caddo</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3.7</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2.6</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2.5</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1.6</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1.6</w:t>
            </w:r>
          </w:p>
        </w:tc>
      </w:tr>
      <w:tr w:rsidR="004E41EF" w:rsidRPr="004E41EF" w:rsidTr="004E41EF">
        <w:trPr>
          <w:trHeight w:val="300"/>
        </w:trPr>
        <w:tc>
          <w:tcPr>
            <w:tcW w:w="1820" w:type="pct"/>
            <w:noWrap/>
            <w:vAlign w:val="center"/>
            <w:hideMark/>
          </w:tcPr>
          <w:p w:rsidR="004E41EF" w:rsidRPr="004E41EF" w:rsidRDefault="004E41EF" w:rsidP="004E41EF">
            <w:pPr>
              <w:rPr>
                <w:rFonts w:eastAsia="Times New Roman" w:cs="Times New Roman"/>
                <w:color w:val="000000"/>
                <w:sz w:val="20"/>
                <w:szCs w:val="20"/>
              </w:rPr>
            </w:pPr>
            <w:r w:rsidRPr="004E41EF">
              <w:rPr>
                <w:rFonts w:eastAsia="Times New Roman" w:cs="Times New Roman"/>
                <w:color w:val="000000"/>
                <w:sz w:val="20"/>
                <w:szCs w:val="20"/>
              </w:rPr>
              <w:t>Calcasieu</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4.0</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3.4</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1.9</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2.7</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2.3</w:t>
            </w:r>
          </w:p>
        </w:tc>
      </w:tr>
      <w:tr w:rsidR="004E41EF" w:rsidRPr="004E41EF" w:rsidTr="004E41EF">
        <w:trPr>
          <w:trHeight w:val="300"/>
        </w:trPr>
        <w:tc>
          <w:tcPr>
            <w:tcW w:w="1820" w:type="pct"/>
            <w:noWrap/>
            <w:vAlign w:val="center"/>
            <w:hideMark/>
          </w:tcPr>
          <w:p w:rsidR="004E41EF" w:rsidRPr="004E41EF" w:rsidRDefault="004E41EF" w:rsidP="004E41EF">
            <w:pPr>
              <w:rPr>
                <w:rFonts w:eastAsia="Times New Roman" w:cs="Times New Roman"/>
                <w:color w:val="000000"/>
                <w:sz w:val="20"/>
                <w:szCs w:val="20"/>
              </w:rPr>
            </w:pPr>
            <w:r w:rsidRPr="004E41EF">
              <w:rPr>
                <w:rFonts w:eastAsia="Times New Roman" w:cs="Times New Roman"/>
                <w:color w:val="000000"/>
                <w:sz w:val="20"/>
                <w:szCs w:val="20"/>
              </w:rPr>
              <w:t>Caldwell</w:t>
            </w:r>
          </w:p>
        </w:tc>
        <w:tc>
          <w:tcPr>
            <w:tcW w:w="636" w:type="pct"/>
            <w:noWrap/>
            <w:vAlign w:val="center"/>
            <w:hideMark/>
          </w:tcPr>
          <w:p w:rsidR="004E41EF" w:rsidRPr="004E41EF" w:rsidRDefault="002368C3" w:rsidP="004E41EF">
            <w:pPr>
              <w:jc w:val="center"/>
              <w:rPr>
                <w:rFonts w:eastAsia="Times New Roman" w:cs="Times New Roman"/>
                <w:color w:val="000000"/>
                <w:sz w:val="20"/>
                <w:szCs w:val="20"/>
              </w:rPr>
            </w:pPr>
            <w:r>
              <w:rPr>
                <w:rFonts w:eastAsia="Times New Roman" w:cs="Times New Roman"/>
                <w:color w:val="000000"/>
                <w:sz w:val="20"/>
                <w:szCs w:val="20"/>
              </w:rPr>
              <w:t>NA</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0.0</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7.7</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2.9</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0.0</w:t>
            </w:r>
          </w:p>
        </w:tc>
      </w:tr>
      <w:tr w:rsidR="004E41EF" w:rsidRPr="004E41EF" w:rsidTr="004E41EF">
        <w:trPr>
          <w:trHeight w:val="300"/>
        </w:trPr>
        <w:tc>
          <w:tcPr>
            <w:tcW w:w="1820" w:type="pct"/>
            <w:noWrap/>
            <w:vAlign w:val="center"/>
            <w:hideMark/>
          </w:tcPr>
          <w:p w:rsidR="004E41EF" w:rsidRPr="004E41EF" w:rsidRDefault="004E41EF" w:rsidP="004E41EF">
            <w:pPr>
              <w:rPr>
                <w:rFonts w:eastAsia="Times New Roman" w:cs="Times New Roman"/>
                <w:color w:val="000000"/>
                <w:sz w:val="20"/>
                <w:szCs w:val="20"/>
              </w:rPr>
            </w:pPr>
            <w:r w:rsidRPr="004E41EF">
              <w:rPr>
                <w:rFonts w:eastAsia="Times New Roman" w:cs="Times New Roman"/>
                <w:color w:val="000000"/>
                <w:sz w:val="20"/>
                <w:szCs w:val="20"/>
              </w:rPr>
              <w:t>Cameron</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4.8</w:t>
            </w:r>
          </w:p>
        </w:tc>
        <w:tc>
          <w:tcPr>
            <w:tcW w:w="636" w:type="pct"/>
            <w:noWrap/>
            <w:vAlign w:val="center"/>
            <w:hideMark/>
          </w:tcPr>
          <w:p w:rsidR="004E41EF" w:rsidRPr="004E41EF" w:rsidRDefault="002368C3" w:rsidP="004E41EF">
            <w:pPr>
              <w:jc w:val="center"/>
              <w:rPr>
                <w:rFonts w:eastAsia="Times New Roman" w:cs="Times New Roman"/>
                <w:color w:val="000000"/>
                <w:sz w:val="20"/>
                <w:szCs w:val="20"/>
              </w:rPr>
            </w:pPr>
            <w:r>
              <w:rPr>
                <w:rFonts w:eastAsia="Times New Roman" w:cs="Times New Roman"/>
                <w:color w:val="000000"/>
                <w:sz w:val="20"/>
                <w:szCs w:val="20"/>
              </w:rPr>
              <w:t>NA</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1.4</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2.4</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2.8</w:t>
            </w:r>
          </w:p>
        </w:tc>
      </w:tr>
      <w:tr w:rsidR="004E41EF" w:rsidRPr="004E41EF" w:rsidTr="004E41EF">
        <w:trPr>
          <w:trHeight w:val="300"/>
        </w:trPr>
        <w:tc>
          <w:tcPr>
            <w:tcW w:w="1820" w:type="pct"/>
            <w:noWrap/>
            <w:vAlign w:val="center"/>
            <w:hideMark/>
          </w:tcPr>
          <w:p w:rsidR="004E41EF" w:rsidRPr="004E41EF" w:rsidRDefault="004E41EF" w:rsidP="004E41EF">
            <w:pPr>
              <w:rPr>
                <w:rFonts w:eastAsia="Times New Roman" w:cs="Times New Roman"/>
                <w:color w:val="000000"/>
                <w:sz w:val="20"/>
                <w:szCs w:val="20"/>
              </w:rPr>
            </w:pPr>
            <w:r w:rsidRPr="004E41EF">
              <w:rPr>
                <w:rFonts w:eastAsia="Times New Roman" w:cs="Times New Roman"/>
                <w:color w:val="000000"/>
                <w:sz w:val="20"/>
                <w:szCs w:val="20"/>
              </w:rPr>
              <w:t>Catahoula</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0.0</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2.4</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5.3</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2.6</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0.0</w:t>
            </w:r>
          </w:p>
        </w:tc>
      </w:tr>
      <w:tr w:rsidR="004E41EF" w:rsidRPr="004E41EF" w:rsidTr="004E41EF">
        <w:trPr>
          <w:trHeight w:val="300"/>
        </w:trPr>
        <w:tc>
          <w:tcPr>
            <w:tcW w:w="1820" w:type="pct"/>
            <w:noWrap/>
            <w:vAlign w:val="center"/>
            <w:hideMark/>
          </w:tcPr>
          <w:p w:rsidR="004E41EF" w:rsidRPr="004E41EF" w:rsidRDefault="004E41EF" w:rsidP="004E41EF">
            <w:pPr>
              <w:rPr>
                <w:rFonts w:eastAsia="Times New Roman" w:cs="Times New Roman"/>
                <w:color w:val="000000"/>
                <w:sz w:val="20"/>
                <w:szCs w:val="20"/>
              </w:rPr>
            </w:pPr>
            <w:r w:rsidRPr="004E41EF">
              <w:rPr>
                <w:rFonts w:eastAsia="Times New Roman" w:cs="Times New Roman"/>
                <w:color w:val="000000"/>
                <w:sz w:val="20"/>
                <w:szCs w:val="20"/>
              </w:rPr>
              <w:t>Claiborne</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1.9</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0.0</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1.8</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3.0</w:t>
            </w:r>
          </w:p>
        </w:tc>
        <w:tc>
          <w:tcPr>
            <w:tcW w:w="636" w:type="pct"/>
            <w:noWrap/>
            <w:vAlign w:val="center"/>
            <w:hideMark/>
          </w:tcPr>
          <w:p w:rsidR="004E41EF" w:rsidRPr="004E41EF" w:rsidRDefault="002368C3" w:rsidP="004E41EF">
            <w:pPr>
              <w:jc w:val="center"/>
              <w:rPr>
                <w:rFonts w:eastAsia="Times New Roman" w:cs="Times New Roman"/>
                <w:color w:val="000000"/>
                <w:sz w:val="20"/>
                <w:szCs w:val="20"/>
              </w:rPr>
            </w:pPr>
            <w:r>
              <w:rPr>
                <w:rFonts w:eastAsia="Times New Roman" w:cs="Times New Roman"/>
                <w:color w:val="000000"/>
                <w:sz w:val="20"/>
                <w:szCs w:val="20"/>
              </w:rPr>
              <w:t>NA</w:t>
            </w:r>
          </w:p>
        </w:tc>
      </w:tr>
      <w:tr w:rsidR="004E41EF" w:rsidRPr="004E41EF" w:rsidTr="004E41EF">
        <w:trPr>
          <w:trHeight w:val="300"/>
        </w:trPr>
        <w:tc>
          <w:tcPr>
            <w:tcW w:w="1820" w:type="pct"/>
            <w:noWrap/>
            <w:vAlign w:val="center"/>
            <w:hideMark/>
          </w:tcPr>
          <w:p w:rsidR="004E41EF" w:rsidRPr="004E41EF" w:rsidRDefault="004E41EF" w:rsidP="004E41EF">
            <w:pPr>
              <w:rPr>
                <w:rFonts w:eastAsia="Times New Roman" w:cs="Times New Roman"/>
                <w:color w:val="000000"/>
                <w:sz w:val="20"/>
                <w:szCs w:val="20"/>
              </w:rPr>
            </w:pPr>
            <w:r w:rsidRPr="004E41EF">
              <w:rPr>
                <w:rFonts w:eastAsia="Times New Roman" w:cs="Times New Roman"/>
                <w:color w:val="000000"/>
                <w:sz w:val="20"/>
                <w:szCs w:val="20"/>
              </w:rPr>
              <w:t>Concordia</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0.0</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4.8</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1.6</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5.4</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0.9</w:t>
            </w:r>
          </w:p>
        </w:tc>
      </w:tr>
      <w:tr w:rsidR="004E41EF" w:rsidRPr="004E41EF" w:rsidTr="004E41EF">
        <w:trPr>
          <w:trHeight w:val="300"/>
        </w:trPr>
        <w:tc>
          <w:tcPr>
            <w:tcW w:w="1820" w:type="pct"/>
            <w:noWrap/>
            <w:vAlign w:val="center"/>
            <w:hideMark/>
          </w:tcPr>
          <w:p w:rsidR="004E41EF" w:rsidRPr="004E41EF" w:rsidRDefault="004E41EF" w:rsidP="004E41EF">
            <w:pPr>
              <w:rPr>
                <w:rFonts w:eastAsia="Times New Roman" w:cs="Times New Roman"/>
                <w:color w:val="000000"/>
                <w:sz w:val="20"/>
                <w:szCs w:val="20"/>
              </w:rPr>
            </w:pPr>
            <w:r w:rsidRPr="004E41EF">
              <w:rPr>
                <w:rFonts w:eastAsia="Times New Roman" w:cs="Times New Roman"/>
                <w:color w:val="000000"/>
                <w:sz w:val="20"/>
                <w:szCs w:val="20"/>
              </w:rPr>
              <w:t>De Soto</w:t>
            </w:r>
          </w:p>
        </w:tc>
        <w:tc>
          <w:tcPr>
            <w:tcW w:w="636" w:type="pct"/>
            <w:noWrap/>
            <w:vAlign w:val="center"/>
            <w:hideMark/>
          </w:tcPr>
          <w:p w:rsidR="004E41EF" w:rsidRPr="004E41EF" w:rsidRDefault="002368C3" w:rsidP="004E41EF">
            <w:pPr>
              <w:jc w:val="center"/>
              <w:rPr>
                <w:rFonts w:eastAsia="Times New Roman" w:cs="Times New Roman"/>
                <w:color w:val="000000"/>
                <w:sz w:val="20"/>
                <w:szCs w:val="20"/>
              </w:rPr>
            </w:pPr>
            <w:r>
              <w:rPr>
                <w:rFonts w:eastAsia="Times New Roman" w:cs="Times New Roman"/>
                <w:color w:val="000000"/>
                <w:sz w:val="20"/>
                <w:szCs w:val="20"/>
              </w:rPr>
              <w:t>NA</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1.2</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1.2</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1.3</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0.7</w:t>
            </w:r>
          </w:p>
        </w:tc>
      </w:tr>
      <w:tr w:rsidR="004E41EF" w:rsidRPr="004E41EF" w:rsidTr="004E41EF">
        <w:trPr>
          <w:trHeight w:val="300"/>
        </w:trPr>
        <w:tc>
          <w:tcPr>
            <w:tcW w:w="1820" w:type="pct"/>
            <w:noWrap/>
            <w:vAlign w:val="center"/>
            <w:hideMark/>
          </w:tcPr>
          <w:p w:rsidR="004E41EF" w:rsidRPr="004E41EF" w:rsidRDefault="004E41EF" w:rsidP="004E41EF">
            <w:pPr>
              <w:rPr>
                <w:rFonts w:eastAsia="Times New Roman" w:cs="Times New Roman"/>
                <w:color w:val="000000"/>
                <w:sz w:val="20"/>
                <w:szCs w:val="20"/>
              </w:rPr>
            </w:pPr>
            <w:r w:rsidRPr="004E41EF">
              <w:rPr>
                <w:rFonts w:eastAsia="Times New Roman" w:cs="Times New Roman"/>
                <w:color w:val="000000"/>
                <w:sz w:val="20"/>
                <w:szCs w:val="20"/>
              </w:rPr>
              <w:t>East Baton Rouge</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2.3</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2.1</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2.7</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2.3</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2.0</w:t>
            </w:r>
          </w:p>
        </w:tc>
      </w:tr>
      <w:tr w:rsidR="004E41EF" w:rsidRPr="004E41EF" w:rsidTr="004E41EF">
        <w:trPr>
          <w:trHeight w:val="300"/>
        </w:trPr>
        <w:tc>
          <w:tcPr>
            <w:tcW w:w="1820" w:type="pct"/>
            <w:noWrap/>
            <w:vAlign w:val="center"/>
            <w:hideMark/>
          </w:tcPr>
          <w:p w:rsidR="004E41EF" w:rsidRPr="004E41EF" w:rsidRDefault="004E41EF" w:rsidP="004E41EF">
            <w:pPr>
              <w:rPr>
                <w:rFonts w:eastAsia="Times New Roman" w:cs="Times New Roman"/>
                <w:color w:val="000000"/>
                <w:sz w:val="20"/>
                <w:szCs w:val="20"/>
              </w:rPr>
            </w:pPr>
            <w:r w:rsidRPr="004E41EF">
              <w:rPr>
                <w:rFonts w:eastAsia="Times New Roman" w:cs="Times New Roman"/>
                <w:color w:val="000000"/>
                <w:sz w:val="20"/>
                <w:szCs w:val="20"/>
              </w:rPr>
              <w:t>East Carroll</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0.0</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2.2</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12.5</w:t>
            </w:r>
          </w:p>
        </w:tc>
        <w:tc>
          <w:tcPr>
            <w:tcW w:w="636" w:type="pct"/>
            <w:noWrap/>
            <w:vAlign w:val="center"/>
            <w:hideMark/>
          </w:tcPr>
          <w:p w:rsidR="004E41EF" w:rsidRPr="004E41EF" w:rsidRDefault="002368C3" w:rsidP="004E41EF">
            <w:pPr>
              <w:jc w:val="center"/>
              <w:rPr>
                <w:rFonts w:eastAsia="Times New Roman" w:cs="Times New Roman"/>
                <w:color w:val="000000"/>
                <w:sz w:val="20"/>
                <w:szCs w:val="20"/>
              </w:rPr>
            </w:pPr>
            <w:r>
              <w:rPr>
                <w:rFonts w:eastAsia="Times New Roman" w:cs="Times New Roman"/>
                <w:color w:val="000000"/>
                <w:sz w:val="20"/>
                <w:szCs w:val="20"/>
              </w:rPr>
              <w:t>NA</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0.0</w:t>
            </w:r>
          </w:p>
        </w:tc>
      </w:tr>
      <w:tr w:rsidR="004E41EF" w:rsidRPr="004E41EF" w:rsidTr="004E41EF">
        <w:trPr>
          <w:trHeight w:val="300"/>
        </w:trPr>
        <w:tc>
          <w:tcPr>
            <w:tcW w:w="1820" w:type="pct"/>
            <w:noWrap/>
            <w:vAlign w:val="center"/>
            <w:hideMark/>
          </w:tcPr>
          <w:p w:rsidR="004E41EF" w:rsidRPr="004E41EF" w:rsidRDefault="004E41EF" w:rsidP="004E41EF">
            <w:pPr>
              <w:rPr>
                <w:rFonts w:eastAsia="Times New Roman" w:cs="Times New Roman"/>
                <w:color w:val="000000"/>
                <w:sz w:val="20"/>
                <w:szCs w:val="20"/>
              </w:rPr>
            </w:pPr>
            <w:r w:rsidRPr="004E41EF">
              <w:rPr>
                <w:rFonts w:eastAsia="Times New Roman" w:cs="Times New Roman"/>
                <w:color w:val="000000"/>
                <w:sz w:val="20"/>
                <w:szCs w:val="20"/>
              </w:rPr>
              <w:t>East Feliciana</w:t>
            </w:r>
          </w:p>
        </w:tc>
        <w:tc>
          <w:tcPr>
            <w:tcW w:w="636" w:type="pct"/>
            <w:vAlign w:val="center"/>
          </w:tcPr>
          <w:p w:rsidR="004E41EF" w:rsidRPr="004E41EF" w:rsidRDefault="002368C3" w:rsidP="004E41EF">
            <w:pPr>
              <w:jc w:val="center"/>
              <w:rPr>
                <w:rFonts w:eastAsia="Times New Roman" w:cs="Times New Roman"/>
                <w:color w:val="000000"/>
                <w:sz w:val="20"/>
                <w:szCs w:val="20"/>
              </w:rPr>
            </w:pPr>
            <w:r>
              <w:rPr>
                <w:rFonts w:eastAsia="Times New Roman" w:cs="Times New Roman"/>
                <w:color w:val="000000"/>
                <w:sz w:val="20"/>
                <w:szCs w:val="20"/>
              </w:rPr>
              <w:t>NA</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3.5</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3.6</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0.0</w:t>
            </w:r>
          </w:p>
        </w:tc>
        <w:tc>
          <w:tcPr>
            <w:tcW w:w="636" w:type="pct"/>
            <w:noWrap/>
            <w:vAlign w:val="center"/>
            <w:hideMark/>
          </w:tcPr>
          <w:p w:rsidR="004E41EF" w:rsidRPr="004E41EF" w:rsidRDefault="002368C3" w:rsidP="004E41EF">
            <w:pPr>
              <w:jc w:val="center"/>
              <w:rPr>
                <w:rFonts w:eastAsia="Times New Roman" w:cs="Times New Roman"/>
                <w:color w:val="000000"/>
                <w:sz w:val="20"/>
                <w:szCs w:val="20"/>
              </w:rPr>
            </w:pPr>
            <w:r>
              <w:rPr>
                <w:rFonts w:eastAsia="Times New Roman" w:cs="Times New Roman"/>
                <w:color w:val="000000"/>
                <w:sz w:val="20"/>
                <w:szCs w:val="20"/>
              </w:rPr>
              <w:t>NA</w:t>
            </w:r>
          </w:p>
        </w:tc>
      </w:tr>
      <w:tr w:rsidR="004E41EF" w:rsidRPr="004E41EF" w:rsidTr="004E41EF">
        <w:trPr>
          <w:trHeight w:val="300"/>
        </w:trPr>
        <w:tc>
          <w:tcPr>
            <w:tcW w:w="1820" w:type="pct"/>
            <w:noWrap/>
            <w:vAlign w:val="center"/>
            <w:hideMark/>
          </w:tcPr>
          <w:p w:rsidR="004E41EF" w:rsidRPr="004E41EF" w:rsidRDefault="004E41EF" w:rsidP="004E41EF">
            <w:pPr>
              <w:rPr>
                <w:rFonts w:eastAsia="Times New Roman" w:cs="Times New Roman"/>
                <w:color w:val="000000"/>
                <w:sz w:val="20"/>
                <w:szCs w:val="20"/>
              </w:rPr>
            </w:pPr>
            <w:r w:rsidRPr="004E41EF">
              <w:rPr>
                <w:rFonts w:eastAsia="Times New Roman" w:cs="Times New Roman"/>
                <w:color w:val="000000"/>
                <w:sz w:val="20"/>
                <w:szCs w:val="20"/>
              </w:rPr>
              <w:t>Evangeline</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0.0</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1.7</w:t>
            </w:r>
          </w:p>
        </w:tc>
        <w:tc>
          <w:tcPr>
            <w:tcW w:w="636" w:type="pct"/>
            <w:noWrap/>
            <w:vAlign w:val="center"/>
            <w:hideMark/>
          </w:tcPr>
          <w:p w:rsidR="004E41EF" w:rsidRPr="004E41EF" w:rsidRDefault="002368C3" w:rsidP="004E41EF">
            <w:pPr>
              <w:jc w:val="center"/>
              <w:rPr>
                <w:rFonts w:eastAsia="Times New Roman" w:cs="Times New Roman"/>
                <w:color w:val="000000"/>
                <w:sz w:val="20"/>
                <w:szCs w:val="20"/>
              </w:rPr>
            </w:pPr>
            <w:r>
              <w:rPr>
                <w:rFonts w:eastAsia="Times New Roman" w:cs="Times New Roman"/>
                <w:color w:val="000000"/>
                <w:sz w:val="20"/>
                <w:szCs w:val="20"/>
              </w:rPr>
              <w:t>NA</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1.8</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3.4</w:t>
            </w:r>
          </w:p>
        </w:tc>
      </w:tr>
      <w:tr w:rsidR="004E41EF" w:rsidRPr="004E41EF" w:rsidTr="004E41EF">
        <w:trPr>
          <w:trHeight w:val="300"/>
        </w:trPr>
        <w:tc>
          <w:tcPr>
            <w:tcW w:w="1820" w:type="pct"/>
            <w:noWrap/>
            <w:vAlign w:val="center"/>
            <w:hideMark/>
          </w:tcPr>
          <w:p w:rsidR="004E41EF" w:rsidRPr="004E41EF" w:rsidRDefault="004E41EF" w:rsidP="004E41EF">
            <w:pPr>
              <w:rPr>
                <w:rFonts w:eastAsia="Times New Roman" w:cs="Times New Roman"/>
                <w:color w:val="000000"/>
                <w:sz w:val="20"/>
                <w:szCs w:val="20"/>
              </w:rPr>
            </w:pPr>
            <w:r w:rsidRPr="004E41EF">
              <w:rPr>
                <w:rFonts w:eastAsia="Times New Roman" w:cs="Times New Roman"/>
                <w:color w:val="000000"/>
                <w:sz w:val="20"/>
                <w:szCs w:val="20"/>
              </w:rPr>
              <w:t>Franklin</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3.3</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2.2</w:t>
            </w:r>
          </w:p>
        </w:tc>
        <w:tc>
          <w:tcPr>
            <w:tcW w:w="636" w:type="pct"/>
            <w:noWrap/>
            <w:vAlign w:val="center"/>
            <w:hideMark/>
          </w:tcPr>
          <w:p w:rsidR="004E41EF" w:rsidRPr="004E41EF" w:rsidRDefault="002368C3" w:rsidP="004E41EF">
            <w:pPr>
              <w:jc w:val="center"/>
              <w:rPr>
                <w:rFonts w:eastAsia="Times New Roman" w:cs="Times New Roman"/>
                <w:color w:val="000000"/>
                <w:sz w:val="20"/>
                <w:szCs w:val="20"/>
              </w:rPr>
            </w:pPr>
            <w:r>
              <w:rPr>
                <w:rFonts w:eastAsia="Times New Roman" w:cs="Times New Roman"/>
                <w:color w:val="000000"/>
                <w:sz w:val="20"/>
                <w:szCs w:val="20"/>
              </w:rPr>
              <w:t>NA</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3.0</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0.0</w:t>
            </w:r>
          </w:p>
        </w:tc>
      </w:tr>
      <w:tr w:rsidR="004E41EF" w:rsidRPr="004E41EF" w:rsidTr="004E41EF">
        <w:trPr>
          <w:trHeight w:val="300"/>
        </w:trPr>
        <w:tc>
          <w:tcPr>
            <w:tcW w:w="1820" w:type="pct"/>
            <w:noWrap/>
            <w:vAlign w:val="center"/>
            <w:hideMark/>
          </w:tcPr>
          <w:p w:rsidR="004E41EF" w:rsidRPr="004E41EF" w:rsidRDefault="004E41EF" w:rsidP="004E41EF">
            <w:pPr>
              <w:rPr>
                <w:rFonts w:eastAsia="Times New Roman" w:cs="Times New Roman"/>
                <w:color w:val="000000"/>
                <w:sz w:val="20"/>
                <w:szCs w:val="20"/>
              </w:rPr>
            </w:pPr>
            <w:r w:rsidRPr="004E41EF">
              <w:rPr>
                <w:rFonts w:eastAsia="Times New Roman" w:cs="Times New Roman"/>
                <w:color w:val="000000"/>
                <w:sz w:val="20"/>
                <w:szCs w:val="20"/>
              </w:rPr>
              <w:t>Grant</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4.8</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2.7</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1.0</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0.0</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2.0</w:t>
            </w:r>
          </w:p>
        </w:tc>
      </w:tr>
      <w:tr w:rsidR="004E41EF" w:rsidRPr="004E41EF" w:rsidTr="004E41EF">
        <w:trPr>
          <w:trHeight w:val="300"/>
        </w:trPr>
        <w:tc>
          <w:tcPr>
            <w:tcW w:w="1820" w:type="pct"/>
            <w:noWrap/>
            <w:vAlign w:val="center"/>
            <w:hideMark/>
          </w:tcPr>
          <w:p w:rsidR="004E41EF" w:rsidRPr="004E41EF" w:rsidRDefault="004E41EF" w:rsidP="004E41EF">
            <w:pPr>
              <w:rPr>
                <w:rFonts w:eastAsia="Times New Roman" w:cs="Times New Roman"/>
                <w:color w:val="000000"/>
                <w:sz w:val="20"/>
                <w:szCs w:val="20"/>
              </w:rPr>
            </w:pPr>
            <w:r w:rsidRPr="004E41EF">
              <w:rPr>
                <w:rFonts w:eastAsia="Times New Roman" w:cs="Times New Roman"/>
                <w:color w:val="000000"/>
                <w:sz w:val="20"/>
                <w:szCs w:val="20"/>
              </w:rPr>
              <w:t>Iberia</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4.1</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3.2</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2.1</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2.3</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1.8</w:t>
            </w:r>
          </w:p>
        </w:tc>
      </w:tr>
      <w:tr w:rsidR="004E41EF" w:rsidRPr="004E41EF" w:rsidTr="004E41EF">
        <w:trPr>
          <w:trHeight w:val="300"/>
        </w:trPr>
        <w:tc>
          <w:tcPr>
            <w:tcW w:w="1820" w:type="pct"/>
            <w:noWrap/>
            <w:vAlign w:val="center"/>
            <w:hideMark/>
          </w:tcPr>
          <w:p w:rsidR="004E41EF" w:rsidRPr="004E41EF" w:rsidRDefault="004E41EF" w:rsidP="004E41EF">
            <w:pPr>
              <w:rPr>
                <w:rFonts w:eastAsia="Times New Roman" w:cs="Times New Roman"/>
                <w:color w:val="000000"/>
                <w:sz w:val="20"/>
                <w:szCs w:val="20"/>
              </w:rPr>
            </w:pPr>
            <w:r w:rsidRPr="004E41EF">
              <w:rPr>
                <w:rFonts w:eastAsia="Times New Roman" w:cs="Times New Roman"/>
                <w:color w:val="000000"/>
                <w:sz w:val="20"/>
                <w:szCs w:val="20"/>
              </w:rPr>
              <w:t>Iberville</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4.2</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2.7</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1.6</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2.2</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3.1</w:t>
            </w:r>
          </w:p>
        </w:tc>
      </w:tr>
      <w:tr w:rsidR="004E41EF" w:rsidRPr="004E41EF" w:rsidTr="004E41EF">
        <w:trPr>
          <w:trHeight w:val="300"/>
        </w:trPr>
        <w:tc>
          <w:tcPr>
            <w:tcW w:w="1820" w:type="pct"/>
            <w:noWrap/>
            <w:vAlign w:val="center"/>
            <w:hideMark/>
          </w:tcPr>
          <w:p w:rsidR="004E41EF" w:rsidRPr="004E41EF" w:rsidRDefault="004E41EF" w:rsidP="004E41EF">
            <w:pPr>
              <w:rPr>
                <w:rFonts w:eastAsia="Times New Roman" w:cs="Times New Roman"/>
                <w:color w:val="000000"/>
                <w:sz w:val="20"/>
                <w:szCs w:val="20"/>
              </w:rPr>
            </w:pPr>
            <w:r w:rsidRPr="004E41EF">
              <w:rPr>
                <w:rFonts w:eastAsia="Times New Roman" w:cs="Times New Roman"/>
                <w:color w:val="000000"/>
                <w:sz w:val="20"/>
                <w:szCs w:val="20"/>
              </w:rPr>
              <w:t>Jackson</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0.0</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2.1</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2.2</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2.6</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1.2</w:t>
            </w:r>
          </w:p>
        </w:tc>
      </w:tr>
      <w:tr w:rsidR="004E41EF" w:rsidRPr="004E41EF" w:rsidTr="004E41EF">
        <w:trPr>
          <w:trHeight w:val="300"/>
        </w:trPr>
        <w:tc>
          <w:tcPr>
            <w:tcW w:w="1820" w:type="pct"/>
            <w:noWrap/>
            <w:vAlign w:val="center"/>
            <w:hideMark/>
          </w:tcPr>
          <w:p w:rsidR="004E41EF" w:rsidRPr="004E41EF" w:rsidRDefault="004E41EF" w:rsidP="004E41EF">
            <w:pPr>
              <w:rPr>
                <w:rFonts w:eastAsia="Times New Roman" w:cs="Times New Roman"/>
                <w:color w:val="000000"/>
                <w:sz w:val="20"/>
                <w:szCs w:val="20"/>
              </w:rPr>
            </w:pPr>
            <w:r w:rsidRPr="004E41EF">
              <w:rPr>
                <w:rFonts w:eastAsia="Times New Roman" w:cs="Times New Roman"/>
                <w:color w:val="000000"/>
                <w:sz w:val="20"/>
                <w:szCs w:val="20"/>
              </w:rPr>
              <w:t>Jefferson</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3.1</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2.9</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1.9</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3.1</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1.5</w:t>
            </w:r>
          </w:p>
        </w:tc>
      </w:tr>
      <w:tr w:rsidR="004E41EF" w:rsidRPr="004E41EF" w:rsidTr="004E41EF">
        <w:trPr>
          <w:trHeight w:val="300"/>
        </w:trPr>
        <w:tc>
          <w:tcPr>
            <w:tcW w:w="1820" w:type="pct"/>
            <w:noWrap/>
            <w:vAlign w:val="center"/>
            <w:hideMark/>
          </w:tcPr>
          <w:p w:rsidR="004E41EF" w:rsidRPr="004E41EF" w:rsidRDefault="004E41EF" w:rsidP="004E41EF">
            <w:pPr>
              <w:rPr>
                <w:rFonts w:eastAsia="Times New Roman" w:cs="Times New Roman"/>
                <w:color w:val="000000"/>
                <w:sz w:val="20"/>
                <w:szCs w:val="20"/>
              </w:rPr>
            </w:pPr>
            <w:r w:rsidRPr="004E41EF">
              <w:rPr>
                <w:rFonts w:eastAsia="Times New Roman" w:cs="Times New Roman"/>
                <w:color w:val="000000"/>
                <w:sz w:val="20"/>
                <w:szCs w:val="20"/>
              </w:rPr>
              <w:t>Jefferson Davis</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1.9</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3.3</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1.9</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2.2</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1.6</w:t>
            </w:r>
          </w:p>
        </w:tc>
      </w:tr>
      <w:tr w:rsidR="004E41EF" w:rsidRPr="004E41EF" w:rsidTr="004E41EF">
        <w:trPr>
          <w:trHeight w:val="300"/>
        </w:trPr>
        <w:tc>
          <w:tcPr>
            <w:tcW w:w="1820" w:type="pct"/>
            <w:noWrap/>
            <w:vAlign w:val="center"/>
            <w:hideMark/>
          </w:tcPr>
          <w:p w:rsidR="004E41EF" w:rsidRPr="004E41EF" w:rsidRDefault="004E41EF" w:rsidP="004E41EF">
            <w:pPr>
              <w:rPr>
                <w:rFonts w:eastAsia="Times New Roman" w:cs="Times New Roman"/>
                <w:color w:val="000000"/>
                <w:sz w:val="20"/>
                <w:szCs w:val="20"/>
              </w:rPr>
            </w:pPr>
            <w:r w:rsidRPr="004E41EF">
              <w:rPr>
                <w:rFonts w:eastAsia="Times New Roman" w:cs="Times New Roman"/>
                <w:color w:val="000000"/>
                <w:sz w:val="20"/>
                <w:szCs w:val="20"/>
              </w:rPr>
              <w:t>La Salle</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1.4</w:t>
            </w:r>
          </w:p>
        </w:tc>
        <w:tc>
          <w:tcPr>
            <w:tcW w:w="636" w:type="pct"/>
            <w:noWrap/>
            <w:vAlign w:val="center"/>
            <w:hideMark/>
          </w:tcPr>
          <w:p w:rsidR="004E41EF" w:rsidRPr="004E41EF" w:rsidRDefault="002368C3" w:rsidP="004E41EF">
            <w:pPr>
              <w:jc w:val="center"/>
              <w:rPr>
                <w:rFonts w:eastAsia="Times New Roman" w:cs="Times New Roman"/>
                <w:color w:val="000000"/>
                <w:sz w:val="20"/>
                <w:szCs w:val="20"/>
              </w:rPr>
            </w:pPr>
            <w:r>
              <w:rPr>
                <w:rFonts w:eastAsia="Times New Roman" w:cs="Times New Roman"/>
                <w:color w:val="000000"/>
                <w:sz w:val="20"/>
                <w:szCs w:val="20"/>
              </w:rPr>
              <w:t>NA</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2.3</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8.6</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1.4</w:t>
            </w:r>
          </w:p>
        </w:tc>
      </w:tr>
      <w:tr w:rsidR="004E41EF" w:rsidRPr="004E41EF" w:rsidTr="004E41EF">
        <w:trPr>
          <w:trHeight w:val="300"/>
        </w:trPr>
        <w:tc>
          <w:tcPr>
            <w:tcW w:w="1820" w:type="pct"/>
            <w:noWrap/>
            <w:vAlign w:val="center"/>
            <w:hideMark/>
          </w:tcPr>
          <w:p w:rsidR="004E41EF" w:rsidRPr="004E41EF" w:rsidRDefault="004E41EF" w:rsidP="004E41EF">
            <w:pPr>
              <w:rPr>
                <w:rFonts w:eastAsia="Times New Roman" w:cs="Times New Roman"/>
                <w:color w:val="000000"/>
                <w:sz w:val="20"/>
                <w:szCs w:val="20"/>
              </w:rPr>
            </w:pPr>
            <w:r w:rsidRPr="004E41EF">
              <w:rPr>
                <w:rFonts w:eastAsia="Times New Roman" w:cs="Times New Roman"/>
                <w:color w:val="000000"/>
                <w:sz w:val="20"/>
                <w:szCs w:val="20"/>
              </w:rPr>
              <w:t>Lafayette</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3.4</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2.0</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1.5</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1.9</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1.4</w:t>
            </w:r>
          </w:p>
        </w:tc>
      </w:tr>
      <w:tr w:rsidR="004E41EF" w:rsidRPr="004E41EF" w:rsidTr="004E41EF">
        <w:trPr>
          <w:trHeight w:val="300"/>
        </w:trPr>
        <w:tc>
          <w:tcPr>
            <w:tcW w:w="1820" w:type="pct"/>
            <w:noWrap/>
            <w:vAlign w:val="center"/>
            <w:hideMark/>
          </w:tcPr>
          <w:p w:rsidR="004E41EF" w:rsidRPr="004E41EF" w:rsidRDefault="004E41EF" w:rsidP="004E41EF">
            <w:pPr>
              <w:rPr>
                <w:rFonts w:eastAsia="Times New Roman" w:cs="Times New Roman"/>
                <w:color w:val="000000"/>
                <w:sz w:val="20"/>
                <w:szCs w:val="20"/>
              </w:rPr>
            </w:pPr>
            <w:r w:rsidRPr="004E41EF">
              <w:rPr>
                <w:rFonts w:eastAsia="Times New Roman" w:cs="Times New Roman"/>
                <w:color w:val="000000"/>
                <w:sz w:val="20"/>
                <w:szCs w:val="20"/>
              </w:rPr>
              <w:t>Lafourche</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4.3</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1.7</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2.5</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2.2</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4.3</w:t>
            </w:r>
          </w:p>
        </w:tc>
      </w:tr>
      <w:tr w:rsidR="004E41EF" w:rsidRPr="004E41EF" w:rsidTr="004E41EF">
        <w:trPr>
          <w:trHeight w:val="300"/>
        </w:trPr>
        <w:tc>
          <w:tcPr>
            <w:tcW w:w="1820" w:type="pct"/>
            <w:noWrap/>
            <w:vAlign w:val="center"/>
            <w:hideMark/>
          </w:tcPr>
          <w:p w:rsidR="004E41EF" w:rsidRPr="004E41EF" w:rsidRDefault="004E41EF" w:rsidP="004E41EF">
            <w:pPr>
              <w:rPr>
                <w:rFonts w:eastAsia="Times New Roman" w:cs="Times New Roman"/>
                <w:color w:val="000000"/>
                <w:sz w:val="20"/>
                <w:szCs w:val="20"/>
              </w:rPr>
            </w:pPr>
            <w:r w:rsidRPr="004E41EF">
              <w:rPr>
                <w:rFonts w:eastAsia="Times New Roman" w:cs="Times New Roman"/>
                <w:color w:val="000000"/>
                <w:sz w:val="20"/>
                <w:szCs w:val="20"/>
              </w:rPr>
              <w:t>Lincoln</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1.1</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2.4</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1.3</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2.8</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0.4</w:t>
            </w:r>
          </w:p>
        </w:tc>
      </w:tr>
      <w:tr w:rsidR="004E41EF" w:rsidRPr="004E41EF" w:rsidTr="004E41EF">
        <w:trPr>
          <w:trHeight w:val="300"/>
        </w:trPr>
        <w:tc>
          <w:tcPr>
            <w:tcW w:w="1820" w:type="pct"/>
            <w:noWrap/>
            <w:vAlign w:val="center"/>
            <w:hideMark/>
          </w:tcPr>
          <w:p w:rsidR="004E41EF" w:rsidRPr="004E41EF" w:rsidRDefault="004E41EF" w:rsidP="004E41EF">
            <w:pPr>
              <w:rPr>
                <w:rFonts w:eastAsia="Times New Roman" w:cs="Times New Roman"/>
                <w:color w:val="000000"/>
                <w:sz w:val="20"/>
                <w:szCs w:val="20"/>
              </w:rPr>
            </w:pPr>
            <w:r w:rsidRPr="004E41EF">
              <w:rPr>
                <w:rFonts w:eastAsia="Times New Roman" w:cs="Times New Roman"/>
                <w:color w:val="000000"/>
                <w:sz w:val="20"/>
                <w:szCs w:val="20"/>
              </w:rPr>
              <w:t>Livingston</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3.2</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4.7</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4.4</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2.2</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2.4</w:t>
            </w:r>
          </w:p>
        </w:tc>
      </w:tr>
      <w:tr w:rsidR="004E41EF" w:rsidRPr="004E41EF" w:rsidTr="004E41EF">
        <w:trPr>
          <w:trHeight w:val="300"/>
        </w:trPr>
        <w:tc>
          <w:tcPr>
            <w:tcW w:w="1820" w:type="pct"/>
            <w:noWrap/>
            <w:vAlign w:val="center"/>
            <w:hideMark/>
          </w:tcPr>
          <w:p w:rsidR="004E41EF" w:rsidRPr="004E41EF" w:rsidRDefault="004E41EF" w:rsidP="004E41EF">
            <w:pPr>
              <w:rPr>
                <w:rFonts w:eastAsia="Times New Roman" w:cs="Times New Roman"/>
                <w:color w:val="000000"/>
                <w:sz w:val="20"/>
                <w:szCs w:val="20"/>
              </w:rPr>
            </w:pPr>
            <w:r w:rsidRPr="004E41EF">
              <w:rPr>
                <w:rFonts w:eastAsia="Times New Roman" w:cs="Times New Roman"/>
                <w:color w:val="000000"/>
                <w:sz w:val="20"/>
                <w:szCs w:val="20"/>
              </w:rPr>
              <w:t>Madison</w:t>
            </w:r>
          </w:p>
        </w:tc>
        <w:tc>
          <w:tcPr>
            <w:tcW w:w="636" w:type="pct"/>
            <w:noWrap/>
            <w:vAlign w:val="center"/>
            <w:hideMark/>
          </w:tcPr>
          <w:p w:rsidR="004E41EF" w:rsidRPr="004E41EF" w:rsidRDefault="002368C3" w:rsidP="004E41EF">
            <w:pPr>
              <w:jc w:val="center"/>
              <w:rPr>
                <w:rFonts w:eastAsia="Times New Roman" w:cs="Times New Roman"/>
                <w:color w:val="000000"/>
                <w:sz w:val="20"/>
                <w:szCs w:val="20"/>
              </w:rPr>
            </w:pPr>
            <w:r>
              <w:rPr>
                <w:rFonts w:eastAsia="Times New Roman" w:cs="Times New Roman"/>
                <w:color w:val="000000"/>
                <w:sz w:val="20"/>
                <w:szCs w:val="20"/>
              </w:rPr>
              <w:t>NA</w:t>
            </w:r>
          </w:p>
        </w:tc>
        <w:tc>
          <w:tcPr>
            <w:tcW w:w="636" w:type="pct"/>
            <w:noWrap/>
            <w:vAlign w:val="center"/>
            <w:hideMark/>
          </w:tcPr>
          <w:p w:rsidR="004E41EF" w:rsidRPr="004E41EF" w:rsidRDefault="002368C3" w:rsidP="004E41EF">
            <w:pPr>
              <w:jc w:val="center"/>
              <w:rPr>
                <w:rFonts w:eastAsia="Times New Roman" w:cs="Times New Roman"/>
                <w:color w:val="000000"/>
                <w:sz w:val="20"/>
                <w:szCs w:val="20"/>
              </w:rPr>
            </w:pPr>
            <w:r>
              <w:rPr>
                <w:rFonts w:eastAsia="Times New Roman" w:cs="Times New Roman"/>
                <w:color w:val="000000"/>
                <w:sz w:val="20"/>
                <w:szCs w:val="20"/>
              </w:rPr>
              <w:t>NA</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1.4</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2.4</w:t>
            </w:r>
          </w:p>
        </w:tc>
        <w:tc>
          <w:tcPr>
            <w:tcW w:w="636" w:type="pct"/>
            <w:noWrap/>
            <w:vAlign w:val="center"/>
            <w:hideMark/>
          </w:tcPr>
          <w:p w:rsidR="004E41EF" w:rsidRPr="004E41EF" w:rsidRDefault="002368C3" w:rsidP="004E41EF">
            <w:pPr>
              <w:jc w:val="center"/>
              <w:rPr>
                <w:rFonts w:eastAsia="Times New Roman" w:cs="Times New Roman"/>
                <w:color w:val="000000"/>
                <w:sz w:val="20"/>
                <w:szCs w:val="20"/>
              </w:rPr>
            </w:pPr>
            <w:r>
              <w:rPr>
                <w:rFonts w:eastAsia="Times New Roman" w:cs="Times New Roman"/>
                <w:color w:val="000000"/>
                <w:sz w:val="20"/>
                <w:szCs w:val="20"/>
              </w:rPr>
              <w:t>NA</w:t>
            </w:r>
          </w:p>
        </w:tc>
      </w:tr>
      <w:tr w:rsidR="004E41EF" w:rsidRPr="004E41EF" w:rsidTr="004E41EF">
        <w:trPr>
          <w:trHeight w:val="300"/>
        </w:trPr>
        <w:tc>
          <w:tcPr>
            <w:tcW w:w="1820" w:type="pct"/>
            <w:noWrap/>
            <w:vAlign w:val="center"/>
            <w:hideMark/>
          </w:tcPr>
          <w:p w:rsidR="004E41EF" w:rsidRPr="004E41EF" w:rsidRDefault="004E41EF" w:rsidP="004E41EF">
            <w:pPr>
              <w:rPr>
                <w:rFonts w:eastAsia="Times New Roman" w:cs="Times New Roman"/>
                <w:color w:val="000000"/>
                <w:sz w:val="20"/>
                <w:szCs w:val="20"/>
              </w:rPr>
            </w:pPr>
            <w:r w:rsidRPr="004E41EF">
              <w:rPr>
                <w:rFonts w:eastAsia="Times New Roman" w:cs="Times New Roman"/>
                <w:color w:val="000000"/>
                <w:sz w:val="20"/>
                <w:szCs w:val="20"/>
              </w:rPr>
              <w:t>Morehouse</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4.4</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0.8</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2.6</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0.6</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0.0</w:t>
            </w:r>
          </w:p>
        </w:tc>
      </w:tr>
      <w:tr w:rsidR="004E41EF" w:rsidRPr="004E41EF" w:rsidTr="004E41EF">
        <w:trPr>
          <w:trHeight w:val="300"/>
        </w:trPr>
        <w:tc>
          <w:tcPr>
            <w:tcW w:w="1820" w:type="pct"/>
            <w:noWrap/>
            <w:vAlign w:val="center"/>
            <w:hideMark/>
          </w:tcPr>
          <w:p w:rsidR="004E41EF" w:rsidRPr="004E41EF" w:rsidRDefault="004E41EF" w:rsidP="004E41EF">
            <w:pPr>
              <w:rPr>
                <w:rFonts w:eastAsia="Times New Roman" w:cs="Times New Roman"/>
                <w:color w:val="000000"/>
                <w:sz w:val="20"/>
                <w:szCs w:val="20"/>
              </w:rPr>
            </w:pPr>
            <w:r w:rsidRPr="004E41EF">
              <w:rPr>
                <w:rFonts w:eastAsia="Times New Roman" w:cs="Times New Roman"/>
                <w:color w:val="000000"/>
                <w:sz w:val="20"/>
                <w:szCs w:val="20"/>
              </w:rPr>
              <w:t>Natchitoches</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1.6</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1.8</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1.4</w:t>
            </w:r>
          </w:p>
        </w:tc>
        <w:tc>
          <w:tcPr>
            <w:tcW w:w="636" w:type="pct"/>
            <w:noWrap/>
            <w:vAlign w:val="center"/>
            <w:hideMark/>
          </w:tcPr>
          <w:p w:rsidR="004E41EF" w:rsidRPr="004E41EF" w:rsidRDefault="002368C3" w:rsidP="004E41EF">
            <w:pPr>
              <w:jc w:val="center"/>
              <w:rPr>
                <w:rFonts w:eastAsia="Times New Roman" w:cs="Times New Roman"/>
                <w:color w:val="000000"/>
                <w:sz w:val="20"/>
                <w:szCs w:val="20"/>
              </w:rPr>
            </w:pPr>
            <w:r>
              <w:rPr>
                <w:rFonts w:eastAsia="Times New Roman" w:cs="Times New Roman"/>
                <w:color w:val="000000"/>
                <w:sz w:val="20"/>
                <w:szCs w:val="20"/>
              </w:rPr>
              <w:t>NA</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2.0</w:t>
            </w:r>
          </w:p>
        </w:tc>
      </w:tr>
      <w:tr w:rsidR="004E41EF" w:rsidRPr="004E41EF" w:rsidTr="004E41EF">
        <w:trPr>
          <w:trHeight w:val="300"/>
        </w:trPr>
        <w:tc>
          <w:tcPr>
            <w:tcW w:w="1820" w:type="pct"/>
            <w:noWrap/>
            <w:vAlign w:val="center"/>
            <w:hideMark/>
          </w:tcPr>
          <w:p w:rsidR="004E41EF" w:rsidRPr="004E41EF" w:rsidRDefault="004E41EF" w:rsidP="004E41EF">
            <w:pPr>
              <w:rPr>
                <w:rFonts w:eastAsia="Times New Roman" w:cs="Times New Roman"/>
                <w:color w:val="000000"/>
                <w:sz w:val="20"/>
                <w:szCs w:val="20"/>
              </w:rPr>
            </w:pPr>
            <w:r w:rsidRPr="004E41EF">
              <w:rPr>
                <w:rFonts w:eastAsia="Times New Roman" w:cs="Times New Roman"/>
                <w:color w:val="000000"/>
                <w:sz w:val="20"/>
                <w:szCs w:val="20"/>
              </w:rPr>
              <w:t>Orleans</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1.3</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0.5</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2.2</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2.1</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1.4</w:t>
            </w:r>
          </w:p>
        </w:tc>
      </w:tr>
      <w:tr w:rsidR="004E41EF" w:rsidRPr="004E41EF" w:rsidTr="004E41EF">
        <w:trPr>
          <w:trHeight w:val="300"/>
        </w:trPr>
        <w:tc>
          <w:tcPr>
            <w:tcW w:w="1820" w:type="pct"/>
            <w:noWrap/>
            <w:vAlign w:val="center"/>
            <w:hideMark/>
          </w:tcPr>
          <w:p w:rsidR="004E41EF" w:rsidRPr="004E41EF" w:rsidRDefault="004E41EF" w:rsidP="004E41EF">
            <w:pPr>
              <w:rPr>
                <w:rFonts w:eastAsia="Times New Roman" w:cs="Times New Roman"/>
                <w:color w:val="000000"/>
                <w:sz w:val="20"/>
                <w:szCs w:val="20"/>
              </w:rPr>
            </w:pPr>
            <w:r w:rsidRPr="004E41EF">
              <w:rPr>
                <w:rFonts w:eastAsia="Times New Roman" w:cs="Times New Roman"/>
                <w:color w:val="000000"/>
                <w:sz w:val="20"/>
                <w:szCs w:val="20"/>
              </w:rPr>
              <w:t>Ouachita</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3.6</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2.6</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2.0</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1.1</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2.2</w:t>
            </w:r>
          </w:p>
        </w:tc>
      </w:tr>
      <w:tr w:rsidR="004E41EF" w:rsidRPr="004E41EF" w:rsidTr="004E41EF">
        <w:trPr>
          <w:trHeight w:val="300"/>
        </w:trPr>
        <w:tc>
          <w:tcPr>
            <w:tcW w:w="1820" w:type="pct"/>
            <w:noWrap/>
            <w:vAlign w:val="center"/>
            <w:hideMark/>
          </w:tcPr>
          <w:p w:rsidR="004E41EF" w:rsidRPr="004E41EF" w:rsidRDefault="004E41EF" w:rsidP="004E41EF">
            <w:pPr>
              <w:rPr>
                <w:rFonts w:eastAsia="Times New Roman" w:cs="Times New Roman"/>
                <w:color w:val="000000"/>
                <w:sz w:val="20"/>
                <w:szCs w:val="20"/>
              </w:rPr>
            </w:pPr>
            <w:r w:rsidRPr="004E41EF">
              <w:rPr>
                <w:rFonts w:eastAsia="Times New Roman" w:cs="Times New Roman"/>
                <w:color w:val="000000"/>
                <w:sz w:val="20"/>
                <w:szCs w:val="20"/>
              </w:rPr>
              <w:t>Plaquemines</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3.3</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3.0</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1.8</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4.3</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1.1</w:t>
            </w:r>
          </w:p>
        </w:tc>
      </w:tr>
      <w:tr w:rsidR="004E41EF" w:rsidRPr="004E41EF" w:rsidTr="004E41EF">
        <w:trPr>
          <w:trHeight w:val="300"/>
        </w:trPr>
        <w:tc>
          <w:tcPr>
            <w:tcW w:w="1820" w:type="pct"/>
            <w:noWrap/>
            <w:vAlign w:val="center"/>
            <w:hideMark/>
          </w:tcPr>
          <w:p w:rsidR="004E41EF" w:rsidRPr="004E41EF" w:rsidRDefault="004E41EF" w:rsidP="004E41EF">
            <w:pPr>
              <w:rPr>
                <w:rFonts w:eastAsia="Times New Roman" w:cs="Times New Roman"/>
                <w:color w:val="000000"/>
                <w:sz w:val="20"/>
                <w:szCs w:val="20"/>
              </w:rPr>
            </w:pPr>
            <w:r w:rsidRPr="004E41EF">
              <w:rPr>
                <w:rFonts w:eastAsia="Times New Roman" w:cs="Times New Roman"/>
                <w:color w:val="000000"/>
                <w:sz w:val="20"/>
                <w:szCs w:val="20"/>
              </w:rPr>
              <w:lastRenderedPageBreak/>
              <w:t>Pointe Coupee</w:t>
            </w:r>
          </w:p>
        </w:tc>
        <w:tc>
          <w:tcPr>
            <w:tcW w:w="636" w:type="pct"/>
            <w:vAlign w:val="center"/>
          </w:tcPr>
          <w:p w:rsidR="004E41EF" w:rsidRPr="004E41EF" w:rsidRDefault="002368C3" w:rsidP="004E41EF">
            <w:pPr>
              <w:jc w:val="center"/>
              <w:rPr>
                <w:rFonts w:eastAsia="Times New Roman" w:cs="Times New Roman"/>
                <w:color w:val="000000"/>
                <w:sz w:val="20"/>
                <w:szCs w:val="20"/>
              </w:rPr>
            </w:pPr>
            <w:r>
              <w:rPr>
                <w:rFonts w:eastAsia="Times New Roman" w:cs="Times New Roman"/>
                <w:color w:val="000000"/>
                <w:sz w:val="20"/>
                <w:szCs w:val="20"/>
              </w:rPr>
              <w:t>NA</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5.3</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3.4</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5.9</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0.0</w:t>
            </w:r>
          </w:p>
        </w:tc>
      </w:tr>
      <w:tr w:rsidR="004E41EF" w:rsidRPr="004E41EF" w:rsidTr="004E41EF">
        <w:trPr>
          <w:trHeight w:val="300"/>
        </w:trPr>
        <w:tc>
          <w:tcPr>
            <w:tcW w:w="1820" w:type="pct"/>
            <w:noWrap/>
            <w:vAlign w:val="center"/>
            <w:hideMark/>
          </w:tcPr>
          <w:p w:rsidR="004E41EF" w:rsidRPr="004E41EF" w:rsidRDefault="004E41EF" w:rsidP="004E41EF">
            <w:pPr>
              <w:rPr>
                <w:rFonts w:eastAsia="Times New Roman" w:cs="Times New Roman"/>
                <w:color w:val="000000"/>
                <w:sz w:val="20"/>
                <w:szCs w:val="20"/>
              </w:rPr>
            </w:pPr>
            <w:r w:rsidRPr="004E41EF">
              <w:rPr>
                <w:rFonts w:eastAsia="Times New Roman" w:cs="Times New Roman"/>
                <w:color w:val="000000"/>
                <w:sz w:val="20"/>
                <w:szCs w:val="20"/>
              </w:rPr>
              <w:t>Rapides</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1.7</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1.8</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2.8</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1.8</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1.4</w:t>
            </w:r>
          </w:p>
        </w:tc>
      </w:tr>
      <w:tr w:rsidR="004E41EF" w:rsidRPr="004E41EF" w:rsidTr="004E41EF">
        <w:trPr>
          <w:trHeight w:val="300"/>
        </w:trPr>
        <w:tc>
          <w:tcPr>
            <w:tcW w:w="1820" w:type="pct"/>
            <w:noWrap/>
            <w:vAlign w:val="center"/>
            <w:hideMark/>
          </w:tcPr>
          <w:p w:rsidR="004E41EF" w:rsidRPr="004E41EF" w:rsidRDefault="004E41EF" w:rsidP="004E41EF">
            <w:pPr>
              <w:rPr>
                <w:rFonts w:eastAsia="Times New Roman" w:cs="Times New Roman"/>
                <w:color w:val="000000"/>
                <w:sz w:val="20"/>
                <w:szCs w:val="20"/>
              </w:rPr>
            </w:pPr>
            <w:r w:rsidRPr="004E41EF">
              <w:rPr>
                <w:rFonts w:eastAsia="Times New Roman" w:cs="Times New Roman"/>
                <w:color w:val="000000"/>
                <w:sz w:val="20"/>
                <w:szCs w:val="20"/>
              </w:rPr>
              <w:t>Red River</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0.0</w:t>
            </w:r>
          </w:p>
        </w:tc>
        <w:tc>
          <w:tcPr>
            <w:tcW w:w="636" w:type="pct"/>
            <w:noWrap/>
            <w:vAlign w:val="center"/>
            <w:hideMark/>
          </w:tcPr>
          <w:p w:rsidR="004E41EF" w:rsidRPr="004E41EF" w:rsidRDefault="002368C3" w:rsidP="004E41EF">
            <w:pPr>
              <w:jc w:val="center"/>
              <w:rPr>
                <w:rFonts w:eastAsia="Times New Roman" w:cs="Times New Roman"/>
                <w:color w:val="000000"/>
                <w:sz w:val="20"/>
                <w:szCs w:val="20"/>
              </w:rPr>
            </w:pPr>
            <w:r>
              <w:rPr>
                <w:rFonts w:eastAsia="Times New Roman" w:cs="Times New Roman"/>
                <w:color w:val="000000"/>
                <w:sz w:val="20"/>
                <w:szCs w:val="20"/>
              </w:rPr>
              <w:t>NA</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3.4</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4.4</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0.0</w:t>
            </w:r>
          </w:p>
        </w:tc>
      </w:tr>
      <w:tr w:rsidR="004E41EF" w:rsidRPr="004E41EF" w:rsidTr="004E41EF">
        <w:trPr>
          <w:trHeight w:val="300"/>
        </w:trPr>
        <w:tc>
          <w:tcPr>
            <w:tcW w:w="1820" w:type="pct"/>
            <w:noWrap/>
            <w:vAlign w:val="center"/>
            <w:hideMark/>
          </w:tcPr>
          <w:p w:rsidR="004E41EF" w:rsidRPr="004E41EF" w:rsidRDefault="004E41EF" w:rsidP="004E41EF">
            <w:pPr>
              <w:rPr>
                <w:rFonts w:eastAsia="Times New Roman" w:cs="Times New Roman"/>
                <w:color w:val="000000"/>
                <w:sz w:val="20"/>
                <w:szCs w:val="20"/>
              </w:rPr>
            </w:pPr>
            <w:r w:rsidRPr="004E41EF">
              <w:rPr>
                <w:rFonts w:eastAsia="Times New Roman" w:cs="Times New Roman"/>
                <w:color w:val="000000"/>
                <w:sz w:val="20"/>
                <w:szCs w:val="20"/>
              </w:rPr>
              <w:t>Richland</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3.3</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0.0</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3.4</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4.3</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0.0</w:t>
            </w:r>
          </w:p>
        </w:tc>
      </w:tr>
      <w:tr w:rsidR="004E41EF" w:rsidRPr="004E41EF" w:rsidTr="004E41EF">
        <w:trPr>
          <w:trHeight w:val="300"/>
        </w:trPr>
        <w:tc>
          <w:tcPr>
            <w:tcW w:w="1820" w:type="pct"/>
            <w:noWrap/>
            <w:vAlign w:val="center"/>
            <w:hideMark/>
          </w:tcPr>
          <w:p w:rsidR="004E41EF" w:rsidRPr="004E41EF" w:rsidRDefault="004E41EF" w:rsidP="004E41EF">
            <w:pPr>
              <w:rPr>
                <w:rFonts w:eastAsia="Times New Roman" w:cs="Times New Roman"/>
                <w:color w:val="000000"/>
                <w:sz w:val="20"/>
                <w:szCs w:val="20"/>
              </w:rPr>
            </w:pPr>
            <w:r w:rsidRPr="004E41EF">
              <w:rPr>
                <w:rFonts w:eastAsia="Times New Roman" w:cs="Times New Roman"/>
                <w:color w:val="000000"/>
                <w:sz w:val="20"/>
                <w:szCs w:val="20"/>
              </w:rPr>
              <w:t>Sabine</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3.4</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5.7</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3.5</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0.0</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0.6</w:t>
            </w:r>
          </w:p>
        </w:tc>
      </w:tr>
      <w:tr w:rsidR="004E41EF" w:rsidRPr="004E41EF" w:rsidTr="004E41EF">
        <w:trPr>
          <w:trHeight w:val="300"/>
        </w:trPr>
        <w:tc>
          <w:tcPr>
            <w:tcW w:w="1820" w:type="pct"/>
            <w:noWrap/>
            <w:vAlign w:val="center"/>
            <w:hideMark/>
          </w:tcPr>
          <w:p w:rsidR="004E41EF" w:rsidRPr="004E41EF" w:rsidRDefault="004E41EF" w:rsidP="004E41EF">
            <w:pPr>
              <w:rPr>
                <w:rFonts w:eastAsia="Times New Roman" w:cs="Times New Roman"/>
                <w:color w:val="000000"/>
                <w:sz w:val="20"/>
                <w:szCs w:val="20"/>
              </w:rPr>
            </w:pPr>
            <w:r w:rsidRPr="004E41EF">
              <w:rPr>
                <w:rFonts w:eastAsia="Times New Roman" w:cs="Times New Roman"/>
                <w:color w:val="000000"/>
                <w:sz w:val="20"/>
                <w:szCs w:val="20"/>
              </w:rPr>
              <w:t>St. Bernard</w:t>
            </w:r>
          </w:p>
        </w:tc>
        <w:tc>
          <w:tcPr>
            <w:tcW w:w="636" w:type="pct"/>
            <w:vAlign w:val="center"/>
          </w:tcPr>
          <w:p w:rsidR="004E41EF" w:rsidRPr="004E41EF" w:rsidRDefault="002368C3" w:rsidP="004E41EF">
            <w:pPr>
              <w:jc w:val="center"/>
              <w:rPr>
                <w:rFonts w:eastAsia="Times New Roman" w:cs="Times New Roman"/>
                <w:color w:val="000000"/>
                <w:sz w:val="20"/>
                <w:szCs w:val="20"/>
              </w:rPr>
            </w:pPr>
            <w:r>
              <w:rPr>
                <w:rFonts w:eastAsia="Times New Roman" w:cs="Times New Roman"/>
                <w:color w:val="000000"/>
                <w:sz w:val="20"/>
                <w:szCs w:val="20"/>
              </w:rPr>
              <w:t>NA</w:t>
            </w:r>
          </w:p>
        </w:tc>
        <w:tc>
          <w:tcPr>
            <w:tcW w:w="636" w:type="pct"/>
            <w:noWrap/>
            <w:vAlign w:val="center"/>
            <w:hideMark/>
          </w:tcPr>
          <w:p w:rsidR="004E41EF" w:rsidRPr="004E41EF" w:rsidRDefault="002368C3" w:rsidP="004E41EF">
            <w:pPr>
              <w:jc w:val="center"/>
              <w:rPr>
                <w:rFonts w:eastAsia="Times New Roman" w:cs="Times New Roman"/>
                <w:color w:val="000000"/>
                <w:sz w:val="20"/>
                <w:szCs w:val="20"/>
              </w:rPr>
            </w:pPr>
            <w:r>
              <w:rPr>
                <w:rFonts w:eastAsia="Times New Roman" w:cs="Times New Roman"/>
                <w:color w:val="000000"/>
                <w:sz w:val="20"/>
                <w:szCs w:val="20"/>
              </w:rPr>
              <w:t>NA</w:t>
            </w:r>
          </w:p>
        </w:tc>
        <w:tc>
          <w:tcPr>
            <w:tcW w:w="636" w:type="pct"/>
            <w:noWrap/>
            <w:vAlign w:val="center"/>
            <w:hideMark/>
          </w:tcPr>
          <w:p w:rsidR="004E41EF" w:rsidRPr="004E41EF" w:rsidRDefault="002368C3" w:rsidP="004E41EF">
            <w:pPr>
              <w:jc w:val="center"/>
              <w:rPr>
                <w:rFonts w:eastAsia="Times New Roman" w:cs="Times New Roman"/>
                <w:color w:val="000000"/>
                <w:sz w:val="20"/>
                <w:szCs w:val="20"/>
              </w:rPr>
            </w:pPr>
            <w:r>
              <w:rPr>
                <w:rFonts w:eastAsia="Times New Roman" w:cs="Times New Roman"/>
                <w:color w:val="000000"/>
                <w:sz w:val="20"/>
                <w:szCs w:val="20"/>
              </w:rPr>
              <w:t>NA</w:t>
            </w:r>
          </w:p>
        </w:tc>
        <w:tc>
          <w:tcPr>
            <w:tcW w:w="636" w:type="pct"/>
            <w:noWrap/>
            <w:vAlign w:val="center"/>
            <w:hideMark/>
          </w:tcPr>
          <w:p w:rsidR="004E41EF" w:rsidRPr="004E41EF" w:rsidRDefault="002368C3" w:rsidP="004E41EF">
            <w:pPr>
              <w:jc w:val="center"/>
              <w:rPr>
                <w:rFonts w:eastAsia="Times New Roman" w:cs="Times New Roman"/>
                <w:color w:val="000000"/>
                <w:sz w:val="20"/>
                <w:szCs w:val="20"/>
              </w:rPr>
            </w:pPr>
            <w:r>
              <w:rPr>
                <w:rFonts w:eastAsia="Times New Roman" w:cs="Times New Roman"/>
                <w:color w:val="000000"/>
                <w:sz w:val="20"/>
                <w:szCs w:val="20"/>
              </w:rPr>
              <w:t>NA</w:t>
            </w:r>
          </w:p>
        </w:tc>
        <w:tc>
          <w:tcPr>
            <w:tcW w:w="636" w:type="pct"/>
            <w:noWrap/>
            <w:vAlign w:val="center"/>
            <w:hideMark/>
          </w:tcPr>
          <w:p w:rsidR="004E41EF" w:rsidRPr="004E41EF" w:rsidRDefault="002368C3" w:rsidP="004E41EF">
            <w:pPr>
              <w:jc w:val="center"/>
              <w:rPr>
                <w:rFonts w:eastAsia="Times New Roman" w:cs="Times New Roman"/>
                <w:color w:val="000000"/>
                <w:sz w:val="20"/>
                <w:szCs w:val="20"/>
              </w:rPr>
            </w:pPr>
            <w:r>
              <w:rPr>
                <w:rFonts w:eastAsia="Times New Roman" w:cs="Times New Roman"/>
                <w:color w:val="000000"/>
                <w:sz w:val="20"/>
                <w:szCs w:val="20"/>
              </w:rPr>
              <w:t>NA</w:t>
            </w:r>
          </w:p>
        </w:tc>
      </w:tr>
      <w:tr w:rsidR="004E41EF" w:rsidRPr="004E41EF" w:rsidTr="004E41EF">
        <w:trPr>
          <w:trHeight w:val="300"/>
        </w:trPr>
        <w:tc>
          <w:tcPr>
            <w:tcW w:w="1820" w:type="pct"/>
            <w:noWrap/>
            <w:vAlign w:val="center"/>
            <w:hideMark/>
          </w:tcPr>
          <w:p w:rsidR="004E41EF" w:rsidRPr="004E41EF" w:rsidRDefault="004E41EF" w:rsidP="004E41EF">
            <w:pPr>
              <w:rPr>
                <w:rFonts w:eastAsia="Times New Roman" w:cs="Times New Roman"/>
                <w:color w:val="000000"/>
                <w:sz w:val="20"/>
                <w:szCs w:val="20"/>
              </w:rPr>
            </w:pPr>
            <w:r w:rsidRPr="004E41EF">
              <w:rPr>
                <w:rFonts w:eastAsia="Times New Roman" w:cs="Times New Roman"/>
                <w:color w:val="000000"/>
                <w:sz w:val="20"/>
                <w:szCs w:val="20"/>
              </w:rPr>
              <w:t>St. Charles</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6.6</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2.7</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2.9</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3.0</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2.2</w:t>
            </w:r>
          </w:p>
        </w:tc>
      </w:tr>
      <w:tr w:rsidR="004E41EF" w:rsidRPr="004E41EF" w:rsidTr="004E41EF">
        <w:trPr>
          <w:trHeight w:val="300"/>
        </w:trPr>
        <w:tc>
          <w:tcPr>
            <w:tcW w:w="1820" w:type="pct"/>
            <w:noWrap/>
            <w:vAlign w:val="center"/>
            <w:hideMark/>
          </w:tcPr>
          <w:p w:rsidR="004E41EF" w:rsidRPr="004E41EF" w:rsidRDefault="004E41EF" w:rsidP="004E41EF">
            <w:pPr>
              <w:rPr>
                <w:rFonts w:eastAsia="Times New Roman" w:cs="Times New Roman"/>
                <w:color w:val="000000"/>
                <w:sz w:val="20"/>
                <w:szCs w:val="20"/>
              </w:rPr>
            </w:pPr>
            <w:r w:rsidRPr="004E41EF">
              <w:rPr>
                <w:rFonts w:eastAsia="Times New Roman" w:cs="Times New Roman"/>
                <w:color w:val="000000"/>
                <w:sz w:val="20"/>
                <w:szCs w:val="20"/>
              </w:rPr>
              <w:t>St. Helena</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0.0</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1.7</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2.0</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9.1</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0.0</w:t>
            </w:r>
          </w:p>
        </w:tc>
      </w:tr>
      <w:tr w:rsidR="004E41EF" w:rsidRPr="004E41EF" w:rsidTr="004E41EF">
        <w:trPr>
          <w:trHeight w:val="300"/>
        </w:trPr>
        <w:tc>
          <w:tcPr>
            <w:tcW w:w="1820" w:type="pct"/>
            <w:noWrap/>
            <w:vAlign w:val="center"/>
            <w:hideMark/>
          </w:tcPr>
          <w:p w:rsidR="004E41EF" w:rsidRPr="004E41EF" w:rsidRDefault="004E41EF" w:rsidP="004E41EF">
            <w:pPr>
              <w:rPr>
                <w:rFonts w:eastAsia="Times New Roman" w:cs="Times New Roman"/>
                <w:color w:val="000000"/>
                <w:sz w:val="20"/>
                <w:szCs w:val="20"/>
              </w:rPr>
            </w:pPr>
            <w:r w:rsidRPr="004E41EF">
              <w:rPr>
                <w:rFonts w:eastAsia="Times New Roman" w:cs="Times New Roman"/>
                <w:color w:val="000000"/>
                <w:sz w:val="20"/>
                <w:szCs w:val="20"/>
              </w:rPr>
              <w:t>St. James</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2.1</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0.8</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0.0</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1.2</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5.6</w:t>
            </w:r>
          </w:p>
        </w:tc>
      </w:tr>
      <w:tr w:rsidR="004E41EF" w:rsidRPr="004E41EF" w:rsidTr="004E41EF">
        <w:trPr>
          <w:trHeight w:val="300"/>
        </w:trPr>
        <w:tc>
          <w:tcPr>
            <w:tcW w:w="1820" w:type="pct"/>
            <w:noWrap/>
            <w:vAlign w:val="center"/>
            <w:hideMark/>
          </w:tcPr>
          <w:p w:rsidR="004E41EF" w:rsidRPr="004E41EF" w:rsidRDefault="004E41EF" w:rsidP="004E41EF">
            <w:pPr>
              <w:rPr>
                <w:rFonts w:eastAsia="Times New Roman" w:cs="Times New Roman"/>
                <w:color w:val="000000"/>
                <w:sz w:val="20"/>
                <w:szCs w:val="20"/>
              </w:rPr>
            </w:pPr>
            <w:r w:rsidRPr="004E41EF">
              <w:rPr>
                <w:rFonts w:eastAsia="Times New Roman" w:cs="Times New Roman"/>
                <w:color w:val="000000"/>
                <w:sz w:val="20"/>
                <w:szCs w:val="20"/>
              </w:rPr>
              <w:t>St. John the Baptist</w:t>
            </w:r>
          </w:p>
        </w:tc>
        <w:tc>
          <w:tcPr>
            <w:tcW w:w="636" w:type="pct"/>
            <w:vAlign w:val="center"/>
          </w:tcPr>
          <w:p w:rsidR="004E41EF" w:rsidRPr="004E41EF" w:rsidRDefault="002368C3" w:rsidP="004E41EF">
            <w:pPr>
              <w:jc w:val="center"/>
              <w:rPr>
                <w:rFonts w:eastAsia="Times New Roman" w:cs="Times New Roman"/>
                <w:color w:val="000000"/>
                <w:sz w:val="20"/>
                <w:szCs w:val="20"/>
              </w:rPr>
            </w:pPr>
            <w:r>
              <w:rPr>
                <w:rFonts w:eastAsia="Times New Roman" w:cs="Times New Roman"/>
                <w:color w:val="000000"/>
                <w:sz w:val="20"/>
                <w:szCs w:val="20"/>
              </w:rPr>
              <w:t>NA</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1.3</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1.6</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3.4</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0.0</w:t>
            </w:r>
          </w:p>
        </w:tc>
      </w:tr>
      <w:tr w:rsidR="004E41EF" w:rsidRPr="004E41EF" w:rsidTr="004E41EF">
        <w:trPr>
          <w:trHeight w:val="300"/>
        </w:trPr>
        <w:tc>
          <w:tcPr>
            <w:tcW w:w="1820" w:type="pct"/>
            <w:noWrap/>
            <w:vAlign w:val="center"/>
            <w:hideMark/>
          </w:tcPr>
          <w:p w:rsidR="004E41EF" w:rsidRPr="004E41EF" w:rsidRDefault="004E41EF" w:rsidP="004E41EF">
            <w:pPr>
              <w:rPr>
                <w:rFonts w:eastAsia="Times New Roman" w:cs="Times New Roman"/>
                <w:color w:val="000000"/>
                <w:sz w:val="20"/>
                <w:szCs w:val="20"/>
              </w:rPr>
            </w:pPr>
            <w:r w:rsidRPr="004E41EF">
              <w:rPr>
                <w:rFonts w:eastAsia="Times New Roman" w:cs="Times New Roman"/>
                <w:color w:val="000000"/>
                <w:sz w:val="20"/>
                <w:szCs w:val="20"/>
              </w:rPr>
              <w:t>St. Landry</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2.3</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3.3</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3.2</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3.2</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4.7</w:t>
            </w:r>
          </w:p>
        </w:tc>
      </w:tr>
      <w:tr w:rsidR="004E41EF" w:rsidRPr="004E41EF" w:rsidTr="004E41EF">
        <w:trPr>
          <w:trHeight w:val="300"/>
        </w:trPr>
        <w:tc>
          <w:tcPr>
            <w:tcW w:w="1820" w:type="pct"/>
            <w:noWrap/>
            <w:vAlign w:val="center"/>
            <w:hideMark/>
          </w:tcPr>
          <w:p w:rsidR="004E41EF" w:rsidRPr="004E41EF" w:rsidRDefault="004E41EF" w:rsidP="004E41EF">
            <w:pPr>
              <w:rPr>
                <w:rFonts w:eastAsia="Times New Roman" w:cs="Times New Roman"/>
                <w:color w:val="000000"/>
                <w:sz w:val="20"/>
                <w:szCs w:val="20"/>
              </w:rPr>
            </w:pPr>
            <w:r w:rsidRPr="004E41EF">
              <w:rPr>
                <w:rFonts w:eastAsia="Times New Roman" w:cs="Times New Roman"/>
                <w:color w:val="000000"/>
                <w:sz w:val="20"/>
                <w:szCs w:val="20"/>
              </w:rPr>
              <w:t>St. Martin</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3.6</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2.0</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2.7</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2.7</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3.8</w:t>
            </w:r>
          </w:p>
        </w:tc>
      </w:tr>
      <w:tr w:rsidR="004E41EF" w:rsidRPr="004E41EF" w:rsidTr="004E41EF">
        <w:trPr>
          <w:trHeight w:val="300"/>
        </w:trPr>
        <w:tc>
          <w:tcPr>
            <w:tcW w:w="1820" w:type="pct"/>
            <w:noWrap/>
            <w:vAlign w:val="center"/>
            <w:hideMark/>
          </w:tcPr>
          <w:p w:rsidR="004E41EF" w:rsidRPr="004E41EF" w:rsidRDefault="004E41EF" w:rsidP="004E41EF">
            <w:pPr>
              <w:rPr>
                <w:rFonts w:eastAsia="Times New Roman" w:cs="Times New Roman"/>
                <w:color w:val="000000"/>
                <w:sz w:val="20"/>
                <w:szCs w:val="20"/>
              </w:rPr>
            </w:pPr>
            <w:r w:rsidRPr="004E41EF">
              <w:rPr>
                <w:rFonts w:eastAsia="Times New Roman" w:cs="Times New Roman"/>
                <w:color w:val="000000"/>
                <w:sz w:val="20"/>
                <w:szCs w:val="20"/>
              </w:rPr>
              <w:t>St. Mary</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3.6</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3.7</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3.3</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2.7</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2.5</w:t>
            </w:r>
          </w:p>
        </w:tc>
      </w:tr>
      <w:tr w:rsidR="004E41EF" w:rsidRPr="004E41EF" w:rsidTr="004E41EF">
        <w:trPr>
          <w:trHeight w:val="300"/>
        </w:trPr>
        <w:tc>
          <w:tcPr>
            <w:tcW w:w="1820" w:type="pct"/>
            <w:noWrap/>
            <w:vAlign w:val="center"/>
            <w:hideMark/>
          </w:tcPr>
          <w:p w:rsidR="004E41EF" w:rsidRPr="004E41EF" w:rsidRDefault="004E41EF" w:rsidP="004E41EF">
            <w:pPr>
              <w:rPr>
                <w:rFonts w:eastAsia="Times New Roman" w:cs="Times New Roman"/>
                <w:color w:val="000000"/>
                <w:sz w:val="20"/>
                <w:szCs w:val="20"/>
              </w:rPr>
            </w:pPr>
            <w:r w:rsidRPr="004E41EF">
              <w:rPr>
                <w:rFonts w:eastAsia="Times New Roman" w:cs="Times New Roman"/>
                <w:color w:val="000000"/>
                <w:sz w:val="20"/>
                <w:szCs w:val="20"/>
              </w:rPr>
              <w:t>St. Tammany</w:t>
            </w:r>
          </w:p>
        </w:tc>
        <w:tc>
          <w:tcPr>
            <w:tcW w:w="636" w:type="pct"/>
            <w:vAlign w:val="center"/>
          </w:tcPr>
          <w:p w:rsidR="004E41EF" w:rsidRPr="004E41EF" w:rsidRDefault="002368C3" w:rsidP="004E41EF">
            <w:pPr>
              <w:jc w:val="center"/>
              <w:rPr>
                <w:rFonts w:eastAsia="Times New Roman" w:cs="Times New Roman"/>
                <w:color w:val="000000"/>
                <w:sz w:val="20"/>
                <w:szCs w:val="20"/>
              </w:rPr>
            </w:pPr>
            <w:r>
              <w:rPr>
                <w:rFonts w:eastAsia="Times New Roman" w:cs="Times New Roman"/>
                <w:color w:val="000000"/>
                <w:sz w:val="20"/>
                <w:szCs w:val="20"/>
              </w:rPr>
              <w:t>NA</w:t>
            </w:r>
          </w:p>
        </w:tc>
        <w:tc>
          <w:tcPr>
            <w:tcW w:w="636" w:type="pct"/>
            <w:noWrap/>
            <w:vAlign w:val="center"/>
            <w:hideMark/>
          </w:tcPr>
          <w:p w:rsidR="004E41EF" w:rsidRPr="004E41EF" w:rsidRDefault="002368C3" w:rsidP="004E41EF">
            <w:pPr>
              <w:jc w:val="center"/>
              <w:rPr>
                <w:rFonts w:eastAsia="Times New Roman" w:cs="Times New Roman"/>
                <w:color w:val="000000"/>
                <w:sz w:val="20"/>
                <w:szCs w:val="20"/>
              </w:rPr>
            </w:pPr>
            <w:r>
              <w:rPr>
                <w:rFonts w:eastAsia="Times New Roman" w:cs="Times New Roman"/>
                <w:color w:val="000000"/>
                <w:sz w:val="20"/>
                <w:szCs w:val="20"/>
              </w:rPr>
              <w:t>NA</w:t>
            </w:r>
          </w:p>
        </w:tc>
        <w:tc>
          <w:tcPr>
            <w:tcW w:w="636" w:type="pct"/>
            <w:noWrap/>
            <w:vAlign w:val="center"/>
            <w:hideMark/>
          </w:tcPr>
          <w:p w:rsidR="004E41EF" w:rsidRPr="004E41EF" w:rsidRDefault="002368C3" w:rsidP="004E41EF">
            <w:pPr>
              <w:jc w:val="center"/>
              <w:rPr>
                <w:rFonts w:eastAsia="Times New Roman" w:cs="Times New Roman"/>
                <w:color w:val="000000"/>
                <w:sz w:val="20"/>
                <w:szCs w:val="20"/>
              </w:rPr>
            </w:pPr>
            <w:r>
              <w:rPr>
                <w:rFonts w:eastAsia="Times New Roman" w:cs="Times New Roman"/>
                <w:color w:val="000000"/>
                <w:sz w:val="20"/>
                <w:szCs w:val="20"/>
              </w:rPr>
              <w:t>NA</w:t>
            </w:r>
          </w:p>
        </w:tc>
        <w:tc>
          <w:tcPr>
            <w:tcW w:w="636" w:type="pct"/>
            <w:noWrap/>
            <w:vAlign w:val="center"/>
            <w:hideMark/>
          </w:tcPr>
          <w:p w:rsidR="004E41EF" w:rsidRPr="004E41EF" w:rsidRDefault="002368C3" w:rsidP="004E41EF">
            <w:pPr>
              <w:jc w:val="center"/>
              <w:rPr>
                <w:rFonts w:eastAsia="Times New Roman" w:cs="Times New Roman"/>
                <w:color w:val="000000"/>
                <w:sz w:val="20"/>
                <w:szCs w:val="20"/>
              </w:rPr>
            </w:pPr>
            <w:r>
              <w:rPr>
                <w:rFonts w:eastAsia="Times New Roman" w:cs="Times New Roman"/>
                <w:color w:val="000000"/>
                <w:sz w:val="20"/>
                <w:szCs w:val="20"/>
              </w:rPr>
              <w:t>NA</w:t>
            </w:r>
          </w:p>
        </w:tc>
        <w:tc>
          <w:tcPr>
            <w:tcW w:w="636" w:type="pct"/>
            <w:noWrap/>
            <w:vAlign w:val="center"/>
            <w:hideMark/>
          </w:tcPr>
          <w:p w:rsidR="004E41EF" w:rsidRPr="004E41EF" w:rsidRDefault="002368C3" w:rsidP="004E41EF">
            <w:pPr>
              <w:jc w:val="center"/>
              <w:rPr>
                <w:rFonts w:eastAsia="Times New Roman" w:cs="Times New Roman"/>
                <w:color w:val="000000"/>
                <w:sz w:val="20"/>
                <w:szCs w:val="20"/>
              </w:rPr>
            </w:pPr>
            <w:r>
              <w:rPr>
                <w:rFonts w:eastAsia="Times New Roman" w:cs="Times New Roman"/>
                <w:color w:val="000000"/>
                <w:sz w:val="20"/>
                <w:szCs w:val="20"/>
              </w:rPr>
              <w:t>NA</w:t>
            </w:r>
          </w:p>
        </w:tc>
      </w:tr>
      <w:tr w:rsidR="004E41EF" w:rsidRPr="004E41EF" w:rsidTr="004E41EF">
        <w:trPr>
          <w:trHeight w:val="300"/>
        </w:trPr>
        <w:tc>
          <w:tcPr>
            <w:tcW w:w="1820" w:type="pct"/>
            <w:noWrap/>
            <w:vAlign w:val="center"/>
            <w:hideMark/>
          </w:tcPr>
          <w:p w:rsidR="004E41EF" w:rsidRPr="004E41EF" w:rsidRDefault="004E41EF" w:rsidP="004E41EF">
            <w:pPr>
              <w:rPr>
                <w:rFonts w:eastAsia="Times New Roman" w:cs="Times New Roman"/>
                <w:color w:val="000000"/>
                <w:sz w:val="20"/>
                <w:szCs w:val="20"/>
              </w:rPr>
            </w:pPr>
            <w:r w:rsidRPr="004E41EF">
              <w:rPr>
                <w:rFonts w:eastAsia="Times New Roman" w:cs="Times New Roman"/>
                <w:color w:val="000000"/>
                <w:sz w:val="20"/>
                <w:szCs w:val="20"/>
              </w:rPr>
              <w:t>Tangipahoa</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3.9</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3.4</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1.8</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3.8</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3.3</w:t>
            </w:r>
          </w:p>
        </w:tc>
      </w:tr>
      <w:tr w:rsidR="004E41EF" w:rsidRPr="004E41EF" w:rsidTr="004E41EF">
        <w:trPr>
          <w:trHeight w:val="300"/>
        </w:trPr>
        <w:tc>
          <w:tcPr>
            <w:tcW w:w="1820" w:type="pct"/>
            <w:noWrap/>
            <w:vAlign w:val="center"/>
            <w:hideMark/>
          </w:tcPr>
          <w:p w:rsidR="004E41EF" w:rsidRPr="004E41EF" w:rsidRDefault="004E41EF" w:rsidP="004E41EF">
            <w:pPr>
              <w:rPr>
                <w:rFonts w:eastAsia="Times New Roman" w:cs="Times New Roman"/>
                <w:color w:val="000000"/>
                <w:sz w:val="20"/>
                <w:szCs w:val="20"/>
              </w:rPr>
            </w:pPr>
            <w:r w:rsidRPr="004E41EF">
              <w:rPr>
                <w:rFonts w:eastAsia="Times New Roman" w:cs="Times New Roman"/>
                <w:color w:val="000000"/>
                <w:sz w:val="20"/>
                <w:szCs w:val="20"/>
              </w:rPr>
              <w:t>Tensas</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2.6</w:t>
            </w:r>
          </w:p>
        </w:tc>
        <w:tc>
          <w:tcPr>
            <w:tcW w:w="636" w:type="pct"/>
            <w:noWrap/>
            <w:vAlign w:val="center"/>
            <w:hideMark/>
          </w:tcPr>
          <w:p w:rsidR="004E41EF" w:rsidRPr="004E41EF" w:rsidRDefault="002368C3" w:rsidP="004E41EF">
            <w:pPr>
              <w:jc w:val="center"/>
              <w:rPr>
                <w:rFonts w:eastAsia="Times New Roman" w:cs="Times New Roman"/>
                <w:color w:val="000000"/>
                <w:sz w:val="20"/>
                <w:szCs w:val="20"/>
              </w:rPr>
            </w:pPr>
            <w:r>
              <w:rPr>
                <w:rFonts w:eastAsia="Times New Roman" w:cs="Times New Roman"/>
                <w:color w:val="000000"/>
                <w:sz w:val="20"/>
                <w:szCs w:val="20"/>
              </w:rPr>
              <w:t>NA</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0.0</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10.0</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0.0</w:t>
            </w:r>
          </w:p>
        </w:tc>
      </w:tr>
      <w:tr w:rsidR="004E41EF" w:rsidRPr="004E41EF" w:rsidTr="004E41EF">
        <w:trPr>
          <w:trHeight w:val="300"/>
        </w:trPr>
        <w:tc>
          <w:tcPr>
            <w:tcW w:w="1820" w:type="pct"/>
            <w:noWrap/>
            <w:vAlign w:val="center"/>
            <w:hideMark/>
          </w:tcPr>
          <w:p w:rsidR="004E41EF" w:rsidRPr="004E41EF" w:rsidRDefault="004E41EF" w:rsidP="004E41EF">
            <w:pPr>
              <w:rPr>
                <w:rFonts w:eastAsia="Times New Roman" w:cs="Times New Roman"/>
                <w:color w:val="000000"/>
                <w:sz w:val="20"/>
                <w:szCs w:val="20"/>
              </w:rPr>
            </w:pPr>
            <w:r w:rsidRPr="004E41EF">
              <w:rPr>
                <w:rFonts w:eastAsia="Times New Roman" w:cs="Times New Roman"/>
                <w:color w:val="000000"/>
                <w:sz w:val="20"/>
                <w:szCs w:val="20"/>
              </w:rPr>
              <w:t>Terrebonne</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2.2</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3.2</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2.2</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2.7</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1.4</w:t>
            </w:r>
          </w:p>
        </w:tc>
      </w:tr>
      <w:tr w:rsidR="004E41EF" w:rsidRPr="004E41EF" w:rsidTr="004E41EF">
        <w:trPr>
          <w:trHeight w:val="300"/>
        </w:trPr>
        <w:tc>
          <w:tcPr>
            <w:tcW w:w="1820" w:type="pct"/>
            <w:noWrap/>
            <w:vAlign w:val="center"/>
            <w:hideMark/>
          </w:tcPr>
          <w:p w:rsidR="004E41EF" w:rsidRPr="004E41EF" w:rsidRDefault="004E41EF" w:rsidP="004E41EF">
            <w:pPr>
              <w:rPr>
                <w:rFonts w:eastAsia="Times New Roman" w:cs="Times New Roman"/>
                <w:color w:val="000000"/>
                <w:sz w:val="20"/>
                <w:szCs w:val="20"/>
              </w:rPr>
            </w:pPr>
            <w:r w:rsidRPr="004E41EF">
              <w:rPr>
                <w:rFonts w:eastAsia="Times New Roman" w:cs="Times New Roman"/>
                <w:color w:val="000000"/>
                <w:sz w:val="20"/>
                <w:szCs w:val="20"/>
              </w:rPr>
              <w:t>Union</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1.5</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0.0</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1.3</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5.6</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1.0</w:t>
            </w:r>
          </w:p>
        </w:tc>
      </w:tr>
      <w:tr w:rsidR="004E41EF" w:rsidRPr="004E41EF" w:rsidTr="004E41EF">
        <w:trPr>
          <w:trHeight w:val="300"/>
        </w:trPr>
        <w:tc>
          <w:tcPr>
            <w:tcW w:w="1820" w:type="pct"/>
            <w:noWrap/>
            <w:vAlign w:val="center"/>
            <w:hideMark/>
          </w:tcPr>
          <w:p w:rsidR="004E41EF" w:rsidRPr="004E41EF" w:rsidRDefault="004E41EF" w:rsidP="004E41EF">
            <w:pPr>
              <w:rPr>
                <w:rFonts w:eastAsia="Times New Roman" w:cs="Times New Roman"/>
                <w:color w:val="000000"/>
                <w:sz w:val="20"/>
                <w:szCs w:val="20"/>
              </w:rPr>
            </w:pPr>
            <w:r w:rsidRPr="004E41EF">
              <w:rPr>
                <w:rFonts w:eastAsia="Times New Roman" w:cs="Times New Roman"/>
                <w:color w:val="000000"/>
                <w:sz w:val="20"/>
                <w:szCs w:val="20"/>
              </w:rPr>
              <w:t>Vermilion</w:t>
            </w:r>
          </w:p>
        </w:tc>
        <w:tc>
          <w:tcPr>
            <w:tcW w:w="636" w:type="pct"/>
            <w:vAlign w:val="center"/>
          </w:tcPr>
          <w:p w:rsidR="004E41EF" w:rsidRPr="004E41EF" w:rsidRDefault="002368C3" w:rsidP="004E41EF">
            <w:pPr>
              <w:jc w:val="center"/>
              <w:rPr>
                <w:rFonts w:eastAsia="Times New Roman" w:cs="Times New Roman"/>
                <w:color w:val="000000"/>
                <w:sz w:val="20"/>
                <w:szCs w:val="20"/>
              </w:rPr>
            </w:pPr>
            <w:r>
              <w:rPr>
                <w:rFonts w:eastAsia="Times New Roman" w:cs="Times New Roman"/>
                <w:color w:val="000000"/>
                <w:sz w:val="20"/>
                <w:szCs w:val="20"/>
              </w:rPr>
              <w:t>NA</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5.3</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4.1</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4.2</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1.8</w:t>
            </w:r>
          </w:p>
        </w:tc>
      </w:tr>
      <w:tr w:rsidR="004E41EF" w:rsidRPr="004E41EF" w:rsidTr="004E41EF">
        <w:trPr>
          <w:trHeight w:val="300"/>
        </w:trPr>
        <w:tc>
          <w:tcPr>
            <w:tcW w:w="1820" w:type="pct"/>
            <w:noWrap/>
            <w:vAlign w:val="center"/>
            <w:hideMark/>
          </w:tcPr>
          <w:p w:rsidR="004E41EF" w:rsidRPr="004E41EF" w:rsidRDefault="004E41EF" w:rsidP="004E41EF">
            <w:pPr>
              <w:rPr>
                <w:rFonts w:eastAsia="Times New Roman" w:cs="Times New Roman"/>
                <w:color w:val="000000"/>
                <w:sz w:val="20"/>
                <w:szCs w:val="20"/>
              </w:rPr>
            </w:pPr>
            <w:r w:rsidRPr="004E41EF">
              <w:rPr>
                <w:rFonts w:eastAsia="Times New Roman" w:cs="Times New Roman"/>
                <w:color w:val="000000"/>
                <w:sz w:val="20"/>
                <w:szCs w:val="20"/>
              </w:rPr>
              <w:t>Vernon</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2.8</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1.7</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2.0</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2.0</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2.2</w:t>
            </w:r>
          </w:p>
        </w:tc>
      </w:tr>
      <w:tr w:rsidR="004E41EF" w:rsidRPr="004E41EF" w:rsidTr="004E41EF">
        <w:trPr>
          <w:trHeight w:val="300"/>
        </w:trPr>
        <w:tc>
          <w:tcPr>
            <w:tcW w:w="1820" w:type="pct"/>
            <w:noWrap/>
            <w:vAlign w:val="center"/>
            <w:hideMark/>
          </w:tcPr>
          <w:p w:rsidR="004E41EF" w:rsidRPr="004E41EF" w:rsidRDefault="004E41EF" w:rsidP="004E41EF">
            <w:pPr>
              <w:rPr>
                <w:rFonts w:eastAsia="Times New Roman" w:cs="Times New Roman"/>
                <w:color w:val="000000"/>
                <w:sz w:val="20"/>
                <w:szCs w:val="20"/>
              </w:rPr>
            </w:pPr>
            <w:r w:rsidRPr="004E41EF">
              <w:rPr>
                <w:rFonts w:eastAsia="Times New Roman" w:cs="Times New Roman"/>
                <w:color w:val="000000"/>
                <w:sz w:val="20"/>
                <w:szCs w:val="20"/>
              </w:rPr>
              <w:t>Washington</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3.1</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1.4</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1.0</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2.0</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1.3</w:t>
            </w:r>
          </w:p>
        </w:tc>
      </w:tr>
      <w:tr w:rsidR="004E41EF" w:rsidRPr="004E41EF" w:rsidTr="004E41EF">
        <w:trPr>
          <w:trHeight w:val="300"/>
        </w:trPr>
        <w:tc>
          <w:tcPr>
            <w:tcW w:w="1820" w:type="pct"/>
            <w:noWrap/>
            <w:vAlign w:val="center"/>
            <w:hideMark/>
          </w:tcPr>
          <w:p w:rsidR="004E41EF" w:rsidRPr="004E41EF" w:rsidRDefault="004E41EF" w:rsidP="004E41EF">
            <w:pPr>
              <w:rPr>
                <w:rFonts w:eastAsia="Times New Roman" w:cs="Times New Roman"/>
                <w:color w:val="000000"/>
                <w:sz w:val="20"/>
                <w:szCs w:val="20"/>
              </w:rPr>
            </w:pPr>
            <w:r w:rsidRPr="004E41EF">
              <w:rPr>
                <w:rFonts w:eastAsia="Times New Roman" w:cs="Times New Roman"/>
                <w:color w:val="000000"/>
                <w:sz w:val="20"/>
                <w:szCs w:val="20"/>
              </w:rPr>
              <w:t>Webster</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1.9</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3.3</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1.7</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5.5</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1.7</w:t>
            </w:r>
          </w:p>
        </w:tc>
      </w:tr>
      <w:tr w:rsidR="004E41EF" w:rsidRPr="004E41EF" w:rsidTr="004E41EF">
        <w:trPr>
          <w:trHeight w:val="300"/>
        </w:trPr>
        <w:tc>
          <w:tcPr>
            <w:tcW w:w="1820" w:type="pct"/>
            <w:noWrap/>
            <w:vAlign w:val="center"/>
            <w:hideMark/>
          </w:tcPr>
          <w:p w:rsidR="004E41EF" w:rsidRPr="004E41EF" w:rsidRDefault="004E41EF" w:rsidP="004E41EF">
            <w:pPr>
              <w:rPr>
                <w:rFonts w:eastAsia="Times New Roman" w:cs="Times New Roman"/>
                <w:color w:val="000000"/>
                <w:sz w:val="20"/>
                <w:szCs w:val="20"/>
              </w:rPr>
            </w:pPr>
            <w:r w:rsidRPr="004E41EF">
              <w:rPr>
                <w:rFonts w:eastAsia="Times New Roman" w:cs="Times New Roman"/>
                <w:color w:val="000000"/>
                <w:sz w:val="20"/>
                <w:szCs w:val="20"/>
              </w:rPr>
              <w:t>West Baton Rouge</w:t>
            </w:r>
          </w:p>
        </w:tc>
        <w:tc>
          <w:tcPr>
            <w:tcW w:w="636" w:type="pct"/>
            <w:vAlign w:val="center"/>
          </w:tcPr>
          <w:p w:rsidR="004E41EF" w:rsidRPr="004E41EF" w:rsidRDefault="002368C3" w:rsidP="004E41EF">
            <w:pPr>
              <w:jc w:val="center"/>
              <w:rPr>
                <w:rFonts w:eastAsia="Times New Roman" w:cs="Times New Roman"/>
                <w:color w:val="000000"/>
                <w:sz w:val="20"/>
                <w:szCs w:val="20"/>
              </w:rPr>
            </w:pPr>
            <w:r>
              <w:rPr>
                <w:rFonts w:eastAsia="Times New Roman" w:cs="Times New Roman"/>
                <w:color w:val="000000"/>
                <w:sz w:val="20"/>
                <w:szCs w:val="20"/>
              </w:rPr>
              <w:t>NA</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1.6</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4.8</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3.1</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2.3</w:t>
            </w:r>
          </w:p>
        </w:tc>
      </w:tr>
      <w:tr w:rsidR="004E41EF" w:rsidRPr="004E41EF" w:rsidTr="004E41EF">
        <w:trPr>
          <w:trHeight w:val="300"/>
        </w:trPr>
        <w:tc>
          <w:tcPr>
            <w:tcW w:w="1820" w:type="pct"/>
            <w:noWrap/>
            <w:vAlign w:val="center"/>
            <w:hideMark/>
          </w:tcPr>
          <w:p w:rsidR="004E41EF" w:rsidRPr="004E41EF" w:rsidRDefault="004E41EF" w:rsidP="004E41EF">
            <w:pPr>
              <w:rPr>
                <w:rFonts w:eastAsia="Times New Roman" w:cs="Times New Roman"/>
                <w:color w:val="000000"/>
                <w:sz w:val="20"/>
                <w:szCs w:val="20"/>
              </w:rPr>
            </w:pPr>
            <w:r w:rsidRPr="004E41EF">
              <w:rPr>
                <w:rFonts w:eastAsia="Times New Roman" w:cs="Times New Roman"/>
                <w:color w:val="000000"/>
                <w:sz w:val="20"/>
                <w:szCs w:val="20"/>
              </w:rPr>
              <w:t>West Carroll</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0.0</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2.6</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7.4</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1.7</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1.9</w:t>
            </w:r>
          </w:p>
        </w:tc>
      </w:tr>
      <w:tr w:rsidR="004E41EF" w:rsidRPr="004E41EF" w:rsidTr="004E41EF">
        <w:trPr>
          <w:trHeight w:val="300"/>
        </w:trPr>
        <w:tc>
          <w:tcPr>
            <w:tcW w:w="1820" w:type="pct"/>
            <w:noWrap/>
            <w:vAlign w:val="center"/>
            <w:hideMark/>
          </w:tcPr>
          <w:p w:rsidR="004E41EF" w:rsidRPr="004E41EF" w:rsidRDefault="004E41EF" w:rsidP="004E41EF">
            <w:pPr>
              <w:rPr>
                <w:rFonts w:eastAsia="Times New Roman" w:cs="Times New Roman"/>
                <w:color w:val="000000"/>
                <w:sz w:val="20"/>
                <w:szCs w:val="20"/>
              </w:rPr>
            </w:pPr>
            <w:r w:rsidRPr="004E41EF">
              <w:rPr>
                <w:rFonts w:eastAsia="Times New Roman" w:cs="Times New Roman"/>
                <w:color w:val="000000"/>
                <w:sz w:val="20"/>
                <w:szCs w:val="20"/>
              </w:rPr>
              <w:t>West Feliciana</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6.1</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1.8</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2.8</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1.0</w:t>
            </w:r>
          </w:p>
        </w:tc>
        <w:tc>
          <w:tcPr>
            <w:tcW w:w="636" w:type="pct"/>
            <w:noWrap/>
            <w:vAlign w:val="center"/>
            <w:hideMark/>
          </w:tcPr>
          <w:p w:rsidR="004E41EF" w:rsidRPr="004E41EF" w:rsidRDefault="002368C3" w:rsidP="004E41EF">
            <w:pPr>
              <w:jc w:val="center"/>
              <w:rPr>
                <w:rFonts w:eastAsia="Times New Roman" w:cs="Times New Roman"/>
                <w:color w:val="000000"/>
                <w:sz w:val="20"/>
                <w:szCs w:val="20"/>
              </w:rPr>
            </w:pPr>
            <w:r>
              <w:rPr>
                <w:rFonts w:eastAsia="Times New Roman" w:cs="Times New Roman"/>
                <w:color w:val="000000"/>
                <w:sz w:val="20"/>
                <w:szCs w:val="20"/>
              </w:rPr>
              <w:t>NA</w:t>
            </w:r>
          </w:p>
        </w:tc>
      </w:tr>
      <w:tr w:rsidR="004E41EF" w:rsidRPr="004E41EF" w:rsidTr="004E41EF">
        <w:trPr>
          <w:trHeight w:val="300"/>
        </w:trPr>
        <w:tc>
          <w:tcPr>
            <w:tcW w:w="1820" w:type="pct"/>
            <w:noWrap/>
            <w:vAlign w:val="center"/>
            <w:hideMark/>
          </w:tcPr>
          <w:p w:rsidR="004E41EF" w:rsidRPr="004E41EF" w:rsidRDefault="004E41EF" w:rsidP="004E41EF">
            <w:pPr>
              <w:rPr>
                <w:rFonts w:eastAsia="Times New Roman" w:cs="Times New Roman"/>
                <w:color w:val="000000"/>
                <w:sz w:val="20"/>
                <w:szCs w:val="20"/>
              </w:rPr>
            </w:pPr>
            <w:r w:rsidRPr="004E41EF">
              <w:rPr>
                <w:rFonts w:eastAsia="Times New Roman" w:cs="Times New Roman"/>
                <w:color w:val="000000"/>
                <w:sz w:val="20"/>
                <w:szCs w:val="20"/>
              </w:rPr>
              <w:t>Winn</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1.9</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0.0</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0.0</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0.0</w:t>
            </w:r>
          </w:p>
        </w:tc>
        <w:tc>
          <w:tcPr>
            <w:tcW w:w="636" w:type="pct"/>
            <w:noWrap/>
            <w:vAlign w:val="center"/>
            <w:hideMark/>
          </w:tcPr>
          <w:p w:rsidR="004E41EF" w:rsidRPr="004E41EF" w:rsidRDefault="004E41EF" w:rsidP="004E41EF">
            <w:pPr>
              <w:jc w:val="center"/>
              <w:rPr>
                <w:rFonts w:eastAsia="Times New Roman" w:cs="Times New Roman"/>
                <w:color w:val="000000"/>
                <w:sz w:val="20"/>
                <w:szCs w:val="20"/>
              </w:rPr>
            </w:pPr>
            <w:r w:rsidRPr="004E41EF">
              <w:rPr>
                <w:rFonts w:eastAsia="Times New Roman" w:cs="Times New Roman"/>
                <w:color w:val="000000"/>
                <w:sz w:val="20"/>
                <w:szCs w:val="20"/>
              </w:rPr>
              <w:t>0.0</w:t>
            </w:r>
          </w:p>
        </w:tc>
      </w:tr>
    </w:tbl>
    <w:p w:rsidR="00BB03B2" w:rsidRPr="00BB03B2" w:rsidRDefault="00BB03B2" w:rsidP="00BB03B2"/>
    <w:p w:rsidR="001347F6" w:rsidRDefault="001347F6">
      <w:pPr>
        <w:rPr>
          <w:rFonts w:eastAsia="Times New Roman" w:cs="Times New Roman"/>
          <w:b/>
          <w:i/>
          <w:sz w:val="24"/>
        </w:rPr>
      </w:pPr>
      <w:r>
        <w:br w:type="page"/>
      </w:r>
    </w:p>
    <w:p w:rsidR="004821AE" w:rsidRDefault="002E13A8" w:rsidP="002E13A8">
      <w:pPr>
        <w:pStyle w:val="Heading3"/>
      </w:pPr>
      <w:bookmarkStart w:id="82" w:name="_Toc362873958"/>
      <w:r>
        <w:lastRenderedPageBreak/>
        <w:t>Adult Mental Health Indicators</w:t>
      </w:r>
      <w:bookmarkEnd w:id="82"/>
    </w:p>
    <w:p w:rsidR="00725AC2" w:rsidRPr="00725AC2" w:rsidRDefault="00725AC2" w:rsidP="00725AC2">
      <w:r>
        <w:t xml:space="preserve">The indicators of adult mental health in Louisiana have remained fairly stable over the last few years. </w:t>
      </w:r>
      <w:r w:rsidR="00DD1BE8">
        <w:fldChar w:fldCharType="begin"/>
      </w:r>
      <w:r>
        <w:instrText xml:space="preserve"> REF _Ref361697212 \h </w:instrText>
      </w:r>
      <w:r w:rsidR="00DD1BE8">
        <w:fldChar w:fldCharType="separate"/>
      </w:r>
      <w:r w:rsidR="0002537D">
        <w:t xml:space="preserve">Figure </w:t>
      </w:r>
      <w:r w:rsidR="0002537D">
        <w:rPr>
          <w:noProof/>
        </w:rPr>
        <w:t>30</w:t>
      </w:r>
      <w:r w:rsidR="00DD1BE8">
        <w:fldChar w:fldCharType="end"/>
      </w:r>
      <w:r>
        <w:t xml:space="preserve"> shows that adults reporting at least one major depressive episode over the previous 12 months ranged from a high of 8.2% in 2007 to a low of 5.7% two years later in 2009. The Louisiana rates have been comparable to US rates over the same time period.</w:t>
      </w:r>
    </w:p>
    <w:p w:rsidR="0077277A" w:rsidRDefault="0061415F" w:rsidP="0077277A">
      <w:pPr>
        <w:keepNext/>
      </w:pPr>
      <w:r>
        <w:rPr>
          <w:noProof/>
        </w:rPr>
        <w:drawing>
          <wp:inline distT="0" distB="0" distL="0" distR="0">
            <wp:extent cx="5943600" cy="2377440"/>
            <wp:effectExtent l="0" t="0" r="19050" b="2286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61415F" w:rsidRDefault="0077277A" w:rsidP="0077277A">
      <w:pPr>
        <w:pStyle w:val="Caption"/>
      </w:pPr>
      <w:bookmarkStart w:id="83" w:name="_Ref361697212"/>
      <w:bookmarkStart w:id="84" w:name="_Toc362873993"/>
      <w:proofErr w:type="gramStart"/>
      <w:r>
        <w:t xml:space="preserve">Figure </w:t>
      </w:r>
      <w:r w:rsidR="00DD1BE8">
        <w:fldChar w:fldCharType="begin"/>
      </w:r>
      <w:r w:rsidR="00A034FF">
        <w:instrText xml:space="preserve"> SEQ Figure \* ARABIC </w:instrText>
      </w:r>
      <w:r w:rsidR="00DD1BE8">
        <w:fldChar w:fldCharType="separate"/>
      </w:r>
      <w:r w:rsidR="0002537D">
        <w:rPr>
          <w:noProof/>
        </w:rPr>
        <w:t>30</w:t>
      </w:r>
      <w:r w:rsidR="00DD1BE8">
        <w:rPr>
          <w:noProof/>
        </w:rPr>
        <w:fldChar w:fldCharType="end"/>
      </w:r>
      <w:bookmarkEnd w:id="83"/>
      <w:r>
        <w:t>.</w:t>
      </w:r>
      <w:proofErr w:type="gramEnd"/>
      <w:r>
        <w:t xml:space="preserve"> Percentage of adults reporting at least one major depressive episode over past year (Sources: NSDUH)</w:t>
      </w:r>
      <w:bookmarkEnd w:id="84"/>
    </w:p>
    <w:p w:rsidR="0077277A" w:rsidRDefault="001347F6" w:rsidP="0061415F">
      <w:r>
        <w:t>Nearly one in five adults in Louisiana and across the US are estimated to have experienced some form of mental illness in the preceding 12 months, although rates in state are slightly higher,</w:t>
      </w:r>
    </w:p>
    <w:p w:rsidR="0077277A" w:rsidRDefault="0077277A" w:rsidP="0077277A">
      <w:pPr>
        <w:keepNext/>
      </w:pPr>
      <w:r>
        <w:rPr>
          <w:noProof/>
        </w:rPr>
        <w:drawing>
          <wp:inline distT="0" distB="0" distL="0" distR="0">
            <wp:extent cx="5943600" cy="2377440"/>
            <wp:effectExtent l="0" t="0" r="19050" b="2286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77277A" w:rsidRDefault="0077277A" w:rsidP="0077277A">
      <w:pPr>
        <w:pStyle w:val="Caption"/>
      </w:pPr>
      <w:bookmarkStart w:id="85" w:name="_Toc362873994"/>
      <w:proofErr w:type="gramStart"/>
      <w:r>
        <w:t xml:space="preserve">Figure </w:t>
      </w:r>
      <w:r w:rsidR="00DD1BE8">
        <w:fldChar w:fldCharType="begin"/>
      </w:r>
      <w:r w:rsidR="00A034FF">
        <w:instrText xml:space="preserve"> SEQ Figure \* ARABIC </w:instrText>
      </w:r>
      <w:r w:rsidR="00DD1BE8">
        <w:fldChar w:fldCharType="separate"/>
      </w:r>
      <w:r w:rsidR="0002537D">
        <w:rPr>
          <w:noProof/>
        </w:rPr>
        <w:t>31</w:t>
      </w:r>
      <w:r w:rsidR="00DD1BE8">
        <w:rPr>
          <w:noProof/>
        </w:rPr>
        <w:fldChar w:fldCharType="end"/>
      </w:r>
      <w:r>
        <w:t>.</w:t>
      </w:r>
      <w:proofErr w:type="gramEnd"/>
      <w:r>
        <w:t xml:space="preserve"> </w:t>
      </w:r>
      <w:r w:rsidRPr="006239EE">
        <w:t>The percentage of adults 18 and over estimated to have experienced any mental illness in the past year.</w:t>
      </w:r>
      <w:r>
        <w:t xml:space="preserve"> (Source: NSDUH)</w:t>
      </w:r>
      <w:bookmarkEnd w:id="85"/>
    </w:p>
    <w:p w:rsidR="0077277A" w:rsidRDefault="00965DFC" w:rsidP="0061415F">
      <w:r>
        <w:t xml:space="preserve">The estimated rate of adults with a serious mental illness, as shown in </w:t>
      </w:r>
      <w:r w:rsidR="00DD1BE8">
        <w:fldChar w:fldCharType="begin"/>
      </w:r>
      <w:r>
        <w:instrText xml:space="preserve"> REF _Ref361697635 \h </w:instrText>
      </w:r>
      <w:r w:rsidR="00DD1BE8">
        <w:fldChar w:fldCharType="separate"/>
      </w:r>
      <w:r w:rsidR="0002537D">
        <w:t xml:space="preserve">Figure </w:t>
      </w:r>
      <w:r w:rsidR="0002537D">
        <w:rPr>
          <w:noProof/>
        </w:rPr>
        <w:t>32</w:t>
      </w:r>
      <w:r w:rsidR="00DD1BE8">
        <w:fldChar w:fldCharType="end"/>
      </w:r>
      <w:r>
        <w:t>, has remained relatively constant at approximately 5% both within Louisiana and nationally.</w:t>
      </w:r>
    </w:p>
    <w:p w:rsidR="0077277A" w:rsidRDefault="0077277A" w:rsidP="0077277A">
      <w:pPr>
        <w:keepNext/>
      </w:pPr>
      <w:r>
        <w:rPr>
          <w:noProof/>
        </w:rPr>
        <w:lastRenderedPageBreak/>
        <w:drawing>
          <wp:inline distT="0" distB="0" distL="0" distR="0">
            <wp:extent cx="5943600" cy="2377440"/>
            <wp:effectExtent l="0" t="0" r="19050" b="2286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77277A" w:rsidRDefault="0077277A" w:rsidP="0077277A">
      <w:pPr>
        <w:pStyle w:val="Caption"/>
      </w:pPr>
      <w:bookmarkStart w:id="86" w:name="_Ref361697635"/>
      <w:bookmarkStart w:id="87" w:name="_Toc362873995"/>
      <w:proofErr w:type="gramStart"/>
      <w:r>
        <w:t xml:space="preserve">Figure </w:t>
      </w:r>
      <w:r w:rsidR="00DD1BE8">
        <w:fldChar w:fldCharType="begin"/>
      </w:r>
      <w:r w:rsidR="00A034FF">
        <w:instrText xml:space="preserve"> SEQ Figure \* ARABIC </w:instrText>
      </w:r>
      <w:r w:rsidR="00DD1BE8">
        <w:fldChar w:fldCharType="separate"/>
      </w:r>
      <w:r w:rsidR="0002537D">
        <w:rPr>
          <w:noProof/>
        </w:rPr>
        <w:t>32</w:t>
      </w:r>
      <w:r w:rsidR="00DD1BE8">
        <w:rPr>
          <w:noProof/>
        </w:rPr>
        <w:fldChar w:fldCharType="end"/>
      </w:r>
      <w:bookmarkEnd w:id="86"/>
      <w:r>
        <w:t>.</w:t>
      </w:r>
      <w:proofErr w:type="gramEnd"/>
      <w:r>
        <w:t xml:space="preserve"> </w:t>
      </w:r>
      <w:r w:rsidRPr="007F79BA">
        <w:t>The percentage of adults 18 and over estimated to have experienced a serious mental illness in the past year.</w:t>
      </w:r>
      <w:r>
        <w:t xml:space="preserve"> (Sources NSDUH)</w:t>
      </w:r>
      <w:bookmarkEnd w:id="87"/>
    </w:p>
    <w:p w:rsidR="00D268F1" w:rsidRDefault="00D268F1" w:rsidP="00D268F1">
      <w:pPr>
        <w:pStyle w:val="Heading2"/>
      </w:pPr>
      <w:bookmarkStart w:id="88" w:name="_Toc362873959"/>
      <w:r>
        <w:t>Suicide</w:t>
      </w:r>
      <w:bookmarkEnd w:id="88"/>
    </w:p>
    <w:p w:rsidR="00A611A1" w:rsidRPr="00A611A1" w:rsidRDefault="00A611A1" w:rsidP="00A611A1">
      <w:r>
        <w:t xml:space="preserve">A more serious mental health issue is suicide. There are symptoms that are related to </w:t>
      </w:r>
      <w:r w:rsidR="00FD6142">
        <w:t>suicide</w:t>
      </w:r>
      <w:r>
        <w:t xml:space="preserve"> attempts, but once the attempt has been made the results are frequently fatal.</w:t>
      </w:r>
      <w:r w:rsidR="00FD6142">
        <w:t xml:space="preserve"> Even those who may survive the attempt may have serious injuries. A history of depression or other mental illnesses often precedes a suicide attempt which emphasizes the importance of tracking other</w:t>
      </w:r>
      <w:r w:rsidR="004A6F6F">
        <w:t xml:space="preserve"> mental health</w:t>
      </w:r>
      <w:r w:rsidR="00FD6142">
        <w:t xml:space="preserve"> indicators.</w:t>
      </w:r>
    </w:p>
    <w:p w:rsidR="0077277A" w:rsidRDefault="002E13A8" w:rsidP="002E13A8">
      <w:pPr>
        <w:pStyle w:val="Heading3"/>
      </w:pPr>
      <w:bookmarkStart w:id="89" w:name="_Toc362873960"/>
      <w:r>
        <w:t>Youth Suicide Indicators</w:t>
      </w:r>
      <w:bookmarkEnd w:id="89"/>
      <w:r>
        <w:t xml:space="preserve"> </w:t>
      </w:r>
    </w:p>
    <w:p w:rsidR="00FD6142" w:rsidRPr="00FD6142" w:rsidRDefault="00FD6142" w:rsidP="00FD6142">
      <w:r>
        <w:t>Approximately 12% of</w:t>
      </w:r>
      <w:r w:rsidR="00861794">
        <w:t xml:space="preserve"> Louisiana high </w:t>
      </w:r>
      <w:r w:rsidR="004A6F6F">
        <w:t xml:space="preserve">school students </w:t>
      </w:r>
      <w:r w:rsidR="00861794">
        <w:t xml:space="preserve">report having at least made a plan to commit suicide and this rate has remained fairly constant since 2007 as shown in </w:t>
      </w:r>
      <w:r w:rsidR="00DD1BE8">
        <w:fldChar w:fldCharType="begin"/>
      </w:r>
      <w:r w:rsidR="00861794">
        <w:instrText xml:space="preserve"> REF _Ref361696236 \h </w:instrText>
      </w:r>
      <w:r w:rsidR="00DD1BE8">
        <w:fldChar w:fldCharType="separate"/>
      </w:r>
      <w:r w:rsidR="0002537D">
        <w:t xml:space="preserve">Figure </w:t>
      </w:r>
      <w:r w:rsidR="0002537D">
        <w:rPr>
          <w:noProof/>
        </w:rPr>
        <w:t>33</w:t>
      </w:r>
      <w:r w:rsidR="00DD1BE8">
        <w:fldChar w:fldCharType="end"/>
      </w:r>
      <w:r w:rsidR="00861794">
        <w:t>.  The Louisiana rate has been very nearly identical to the rate nationwide.</w:t>
      </w:r>
    </w:p>
    <w:p w:rsidR="002E13A8" w:rsidRDefault="002E13A8" w:rsidP="002E13A8">
      <w:pPr>
        <w:keepNext/>
      </w:pPr>
      <w:r>
        <w:rPr>
          <w:noProof/>
        </w:rPr>
        <w:drawing>
          <wp:inline distT="0" distB="0" distL="0" distR="0">
            <wp:extent cx="5943600" cy="2377440"/>
            <wp:effectExtent l="0" t="0" r="19050" b="2286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2E13A8" w:rsidRDefault="002E13A8" w:rsidP="002E13A8">
      <w:pPr>
        <w:pStyle w:val="Caption"/>
      </w:pPr>
      <w:bookmarkStart w:id="90" w:name="_Ref361696236"/>
      <w:bookmarkStart w:id="91" w:name="_Toc362873996"/>
      <w:proofErr w:type="gramStart"/>
      <w:r>
        <w:t xml:space="preserve">Figure </w:t>
      </w:r>
      <w:r w:rsidR="00DD1BE8">
        <w:fldChar w:fldCharType="begin"/>
      </w:r>
      <w:r w:rsidR="00A034FF">
        <w:instrText xml:space="preserve"> SEQ Figure \* ARABIC </w:instrText>
      </w:r>
      <w:r w:rsidR="00DD1BE8">
        <w:fldChar w:fldCharType="separate"/>
      </w:r>
      <w:r w:rsidR="0002537D">
        <w:rPr>
          <w:noProof/>
        </w:rPr>
        <w:t>33</w:t>
      </w:r>
      <w:r w:rsidR="00DD1BE8">
        <w:rPr>
          <w:noProof/>
        </w:rPr>
        <w:fldChar w:fldCharType="end"/>
      </w:r>
      <w:bookmarkEnd w:id="90"/>
      <w:r>
        <w:t>.</w:t>
      </w:r>
      <w:proofErr w:type="gramEnd"/>
      <w:r>
        <w:t xml:space="preserve"> </w:t>
      </w:r>
      <w:r w:rsidRPr="003F12CD">
        <w:t>Percentage of Students in 9th-12th Grade Who Reported Making a Suicide Plan in the Past Year: 2007-2011</w:t>
      </w:r>
      <w:r>
        <w:t xml:space="preserve"> (Source: YRBS)</w:t>
      </w:r>
      <w:bookmarkEnd w:id="91"/>
    </w:p>
    <w:p w:rsidR="00861794" w:rsidRPr="00861794" w:rsidRDefault="00DD1BE8" w:rsidP="00861794">
      <w:r>
        <w:fldChar w:fldCharType="begin"/>
      </w:r>
      <w:r w:rsidR="00861794">
        <w:instrText xml:space="preserve"> REF _Ref361696380 \h </w:instrText>
      </w:r>
      <w:r>
        <w:fldChar w:fldCharType="separate"/>
      </w:r>
      <w:r w:rsidR="0002537D">
        <w:t xml:space="preserve">Figure </w:t>
      </w:r>
      <w:r w:rsidR="0002537D">
        <w:rPr>
          <w:noProof/>
        </w:rPr>
        <w:t>34</w:t>
      </w:r>
      <w:r>
        <w:fldChar w:fldCharType="end"/>
      </w:r>
      <w:r w:rsidR="00861794">
        <w:t xml:space="preserve"> indicates that the rate of youth reporting suicide attempts has gradually risen in Louisiana and has been reported to be consistently higher than the national rate.</w:t>
      </w:r>
    </w:p>
    <w:p w:rsidR="002E13A8" w:rsidRDefault="002E13A8" w:rsidP="002E13A8">
      <w:pPr>
        <w:keepNext/>
      </w:pPr>
      <w:r>
        <w:rPr>
          <w:noProof/>
        </w:rPr>
        <w:lastRenderedPageBreak/>
        <w:drawing>
          <wp:inline distT="0" distB="0" distL="0" distR="0">
            <wp:extent cx="5943600" cy="2377440"/>
            <wp:effectExtent l="0" t="0" r="19050" b="2286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2E13A8" w:rsidRDefault="002E13A8" w:rsidP="002E13A8">
      <w:pPr>
        <w:pStyle w:val="Caption"/>
      </w:pPr>
      <w:bookmarkStart w:id="92" w:name="_Ref361696380"/>
      <w:bookmarkStart w:id="93" w:name="_Toc362873997"/>
      <w:proofErr w:type="gramStart"/>
      <w:r>
        <w:t xml:space="preserve">Figure </w:t>
      </w:r>
      <w:r w:rsidR="00DD1BE8">
        <w:fldChar w:fldCharType="begin"/>
      </w:r>
      <w:r w:rsidR="00A034FF">
        <w:instrText xml:space="preserve"> SEQ Figure \* ARABIC </w:instrText>
      </w:r>
      <w:r w:rsidR="00DD1BE8">
        <w:fldChar w:fldCharType="separate"/>
      </w:r>
      <w:r w:rsidR="0002537D">
        <w:rPr>
          <w:noProof/>
        </w:rPr>
        <w:t>34</w:t>
      </w:r>
      <w:r w:rsidR="00DD1BE8">
        <w:rPr>
          <w:noProof/>
        </w:rPr>
        <w:fldChar w:fldCharType="end"/>
      </w:r>
      <w:bookmarkEnd w:id="92"/>
      <w:r>
        <w:t>.</w:t>
      </w:r>
      <w:proofErr w:type="gramEnd"/>
      <w:r>
        <w:t xml:space="preserve"> </w:t>
      </w:r>
      <w:r w:rsidRPr="00877402">
        <w:t>Percentage of Students in 9th-12th Grade Who Reported Attempting Suicide in the Past Year: 2007-2011</w:t>
      </w:r>
      <w:r>
        <w:t xml:space="preserve"> (Source: YRBS)</w:t>
      </w:r>
      <w:bookmarkEnd w:id="93"/>
    </w:p>
    <w:p w:rsidR="002E13A8" w:rsidRDefault="00637B3D" w:rsidP="00637B3D">
      <w:pPr>
        <w:pStyle w:val="Heading3"/>
      </w:pPr>
      <w:bookmarkStart w:id="94" w:name="_Toc362873961"/>
      <w:r>
        <w:t>Adult Suicide Indicators</w:t>
      </w:r>
      <w:bookmarkEnd w:id="94"/>
    </w:p>
    <w:p w:rsidR="00637B3D" w:rsidRPr="00637B3D" w:rsidRDefault="00DD1BE8" w:rsidP="00637B3D">
      <w:r>
        <w:fldChar w:fldCharType="begin"/>
      </w:r>
      <w:r w:rsidR="00861794">
        <w:instrText xml:space="preserve"> REF _Ref361696776 \h </w:instrText>
      </w:r>
      <w:r>
        <w:fldChar w:fldCharType="separate"/>
      </w:r>
      <w:r w:rsidR="0002537D">
        <w:t xml:space="preserve">Figure </w:t>
      </w:r>
      <w:r w:rsidR="0002537D">
        <w:rPr>
          <w:noProof/>
        </w:rPr>
        <w:t>35</w:t>
      </w:r>
      <w:r>
        <w:fldChar w:fldCharType="end"/>
      </w:r>
      <w:r w:rsidR="00EA68ED">
        <w:t xml:space="preserve"> shows that the percentage of adults in Louisiana seriously thinking about suicide has increased slightly over the last four years to 3.7% nearly identical to the national rate of 3.8%.</w:t>
      </w:r>
    </w:p>
    <w:p w:rsidR="0077277A" w:rsidRDefault="0077277A" w:rsidP="0077277A">
      <w:pPr>
        <w:keepNext/>
      </w:pPr>
      <w:r>
        <w:rPr>
          <w:noProof/>
        </w:rPr>
        <w:drawing>
          <wp:inline distT="0" distB="0" distL="0" distR="0">
            <wp:extent cx="5943600" cy="2377440"/>
            <wp:effectExtent l="0" t="0" r="19050" b="2286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77277A" w:rsidRPr="0077277A" w:rsidRDefault="0077277A" w:rsidP="0077277A">
      <w:pPr>
        <w:pStyle w:val="Caption"/>
      </w:pPr>
      <w:bookmarkStart w:id="95" w:name="_Ref361696776"/>
      <w:bookmarkStart w:id="96" w:name="_Toc362873998"/>
      <w:proofErr w:type="gramStart"/>
      <w:r>
        <w:t xml:space="preserve">Figure </w:t>
      </w:r>
      <w:r w:rsidR="00DD1BE8">
        <w:fldChar w:fldCharType="begin"/>
      </w:r>
      <w:r w:rsidR="00A034FF">
        <w:instrText xml:space="preserve"> SEQ Figure \* ARABIC </w:instrText>
      </w:r>
      <w:r w:rsidR="00DD1BE8">
        <w:fldChar w:fldCharType="separate"/>
      </w:r>
      <w:r w:rsidR="0002537D">
        <w:rPr>
          <w:noProof/>
        </w:rPr>
        <w:t>35</w:t>
      </w:r>
      <w:r w:rsidR="00DD1BE8">
        <w:rPr>
          <w:noProof/>
        </w:rPr>
        <w:fldChar w:fldCharType="end"/>
      </w:r>
      <w:bookmarkEnd w:id="95"/>
      <w:r>
        <w:t>.</w:t>
      </w:r>
      <w:proofErr w:type="gramEnd"/>
      <w:r>
        <w:rPr>
          <w:noProof/>
        </w:rPr>
        <w:t xml:space="preserve"> </w:t>
      </w:r>
      <w:r w:rsidRPr="00864E43">
        <w:rPr>
          <w:noProof/>
        </w:rPr>
        <w:t>The percentage of adults 18 and over estimated to have seriously thought about suicide in the past year.</w:t>
      </w:r>
      <w:r>
        <w:rPr>
          <w:noProof/>
        </w:rPr>
        <w:t xml:space="preserve"> (Sources: NSDUH)</w:t>
      </w:r>
      <w:bookmarkEnd w:id="96"/>
    </w:p>
    <w:p w:rsidR="00A32499" w:rsidRDefault="00A32499">
      <w:pPr>
        <w:rPr>
          <w:b/>
          <w:color w:val="00457C"/>
          <w:sz w:val="28"/>
          <w:szCs w:val="28"/>
        </w:rPr>
      </w:pPr>
      <w:r>
        <w:br w:type="page"/>
      </w:r>
    </w:p>
    <w:p w:rsidR="00D841B1" w:rsidRDefault="00A32499" w:rsidP="00A32499">
      <w:pPr>
        <w:pStyle w:val="Heading1"/>
      </w:pPr>
      <w:bookmarkStart w:id="97" w:name="_Toc362873962"/>
      <w:r>
        <w:lastRenderedPageBreak/>
        <w:t>Summary and Conclusion</w:t>
      </w:r>
      <w:bookmarkEnd w:id="97"/>
    </w:p>
    <w:p w:rsidR="00A32499" w:rsidRDefault="00A32499" w:rsidP="00A32499">
      <w:r>
        <w:t xml:space="preserve">This version of the Louisiana State Epidemiological Profile provides a broad overview of substance abuse and mental health in the State. In particular, the data that was assembled through the collaboration between state agencies via the State Epidemiology Workgroup was presented so that it provided not only a broad outline of issues, but also targeted areas of priority for Louisiana. The </w:t>
      </w:r>
      <w:r w:rsidR="00472FC7">
        <w:t>state is focused on preventing substance abuse and promoting mental health for citizens</w:t>
      </w:r>
      <w:r w:rsidR="00415953">
        <w:t xml:space="preserve"> across the lifespan</w:t>
      </w:r>
      <w:r w:rsidR="00472FC7">
        <w:t>. The priorities are to reduce the rates of youth use of alcohol, marijuana, and tobacco. A new shift in perspective also has the state looking to promote mental health by recognizing that many of the risk factors that are associated with the increased likelihood of substance use and abuse are also associated with higher rates of mental health issues. Applying environmental strategies that lower risk factors and increase protective factors are likely to improve outcomes by lowering rates of substance use and abuse and decreasing the rates of serious mental health issues.</w:t>
      </w:r>
    </w:p>
    <w:p w:rsidR="00472FC7" w:rsidRDefault="00472FC7" w:rsidP="00A32499"/>
    <w:p w:rsidR="00472FC7" w:rsidRDefault="00472FC7" w:rsidP="00A32499"/>
    <w:p w:rsidR="00AB46B1" w:rsidRPr="00246AC6" w:rsidRDefault="00AB46B1" w:rsidP="00AB46B1">
      <w:pPr>
        <w:jc w:val="center"/>
        <w:rPr>
          <w:b/>
          <w:sz w:val="24"/>
        </w:rPr>
      </w:pPr>
      <w:r w:rsidRPr="00246AC6">
        <w:rPr>
          <w:b/>
          <w:sz w:val="24"/>
        </w:rPr>
        <w:t xml:space="preserve">Scan this QR code to access the online </w:t>
      </w:r>
      <w:r>
        <w:rPr>
          <w:b/>
          <w:sz w:val="24"/>
        </w:rPr>
        <w:t>repository</w:t>
      </w:r>
      <w:r w:rsidRPr="00246AC6">
        <w:rPr>
          <w:b/>
          <w:sz w:val="24"/>
        </w:rPr>
        <w:t xml:space="preserve"> of all Louisiana </w:t>
      </w:r>
      <w:r>
        <w:rPr>
          <w:b/>
          <w:sz w:val="24"/>
        </w:rPr>
        <w:br/>
      </w:r>
      <w:r w:rsidRPr="00246AC6">
        <w:rPr>
          <w:b/>
          <w:sz w:val="24"/>
        </w:rPr>
        <w:t>State Epidemiolog</w:t>
      </w:r>
      <w:r>
        <w:rPr>
          <w:b/>
          <w:sz w:val="24"/>
        </w:rPr>
        <w:t>y</w:t>
      </w:r>
      <w:r w:rsidRPr="00246AC6">
        <w:rPr>
          <w:b/>
          <w:sz w:val="24"/>
        </w:rPr>
        <w:t xml:space="preserve"> Workgroup </w:t>
      </w:r>
      <w:r>
        <w:rPr>
          <w:b/>
          <w:sz w:val="24"/>
        </w:rPr>
        <w:t xml:space="preserve">data </w:t>
      </w:r>
      <w:r w:rsidRPr="00246AC6">
        <w:rPr>
          <w:b/>
          <w:sz w:val="24"/>
        </w:rPr>
        <w:t xml:space="preserve">for </w:t>
      </w:r>
      <w:r>
        <w:rPr>
          <w:b/>
          <w:sz w:val="24"/>
        </w:rPr>
        <w:br/>
      </w:r>
      <w:r w:rsidRPr="00246AC6">
        <w:rPr>
          <w:b/>
          <w:sz w:val="24"/>
        </w:rPr>
        <w:t>substance abuse prevention and mental health promotion.</w:t>
      </w:r>
    </w:p>
    <w:p w:rsidR="00AB46B1" w:rsidRDefault="00AB46B1" w:rsidP="00AB46B1">
      <w:pPr>
        <w:jc w:val="center"/>
      </w:pPr>
      <w:r>
        <w:rPr>
          <w:noProof/>
        </w:rPr>
        <w:drawing>
          <wp:inline distT="0" distB="0" distL="0" distR="0">
            <wp:extent cx="1171575" cy="11715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qrcod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71575" cy="1171575"/>
                    </a:xfrm>
                    <a:prstGeom prst="rect">
                      <a:avLst/>
                    </a:prstGeom>
                  </pic:spPr>
                </pic:pic>
              </a:graphicData>
            </a:graphic>
          </wp:inline>
        </w:drawing>
      </w:r>
    </w:p>
    <w:p w:rsidR="00AB46B1" w:rsidRDefault="00205C46" w:rsidP="00AB46B1">
      <w:pPr>
        <w:jc w:val="center"/>
      </w:pPr>
      <w:hyperlink r:id="rId63" w:history="1">
        <w:r w:rsidR="00AB46B1" w:rsidRPr="00381AC7">
          <w:rPr>
            <w:rStyle w:val="Hyperlink"/>
          </w:rPr>
          <w:t>http://www.gov.state.la.us/lasocialindicators</w:t>
        </w:r>
      </w:hyperlink>
      <w:r w:rsidR="00AB46B1">
        <w:t xml:space="preserve"> </w:t>
      </w:r>
    </w:p>
    <w:p w:rsidR="00AB46B1" w:rsidRPr="00A32499" w:rsidRDefault="00AB46B1" w:rsidP="00A32499"/>
    <w:p w:rsidR="00D841B1" w:rsidRDefault="002C6C72" w:rsidP="006D1A5D">
      <w:r>
        <w:br w:type="page"/>
      </w:r>
    </w:p>
    <w:p w:rsidR="002C6C72" w:rsidRDefault="002C6C72" w:rsidP="006D1A5D">
      <w:pPr>
        <w:pStyle w:val="Heading1"/>
      </w:pPr>
      <w:bookmarkStart w:id="98" w:name="_Toc362873963"/>
      <w:r>
        <w:lastRenderedPageBreak/>
        <w:t>Appendix A: Complete List of SEW Data Indicators</w:t>
      </w:r>
      <w:bookmarkEnd w:id="98"/>
    </w:p>
    <w:p w:rsidR="008D6141" w:rsidRDefault="008D6141" w:rsidP="006D1A5D"/>
    <w:tbl>
      <w:tblPr>
        <w:tblStyle w:val="LightList-Accent1"/>
        <w:tblW w:w="5000" w:type="pct"/>
        <w:tblBorders>
          <w:top w:val="single" w:sz="8" w:space="0" w:color="00457C"/>
          <w:left w:val="single" w:sz="8" w:space="0" w:color="00457C"/>
          <w:bottom w:val="single" w:sz="8" w:space="0" w:color="00457C"/>
          <w:right w:val="single" w:sz="8" w:space="0" w:color="00457C"/>
          <w:insideH w:val="single" w:sz="8" w:space="0" w:color="00457C"/>
          <w:insideV w:val="single" w:sz="8" w:space="0" w:color="00457C"/>
        </w:tblBorders>
        <w:tblLook w:val="04A0" w:firstRow="1" w:lastRow="0" w:firstColumn="1" w:lastColumn="0" w:noHBand="0" w:noVBand="1"/>
      </w:tblPr>
      <w:tblGrid>
        <w:gridCol w:w="4593"/>
        <w:gridCol w:w="3764"/>
        <w:gridCol w:w="1795"/>
      </w:tblGrid>
      <w:tr w:rsidR="008D6141" w:rsidRPr="008D6141" w:rsidTr="00E97595">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2262" w:type="pct"/>
            <w:shd w:val="clear" w:color="auto" w:fill="00457C"/>
            <w:noWrap/>
            <w:hideMark/>
          </w:tcPr>
          <w:p w:rsidR="008D6141" w:rsidRPr="008D6141" w:rsidRDefault="008D6141" w:rsidP="006D1A5D">
            <w:pPr>
              <w:rPr>
                <w:rFonts w:eastAsia="Times New Roman"/>
              </w:rPr>
            </w:pPr>
            <w:r w:rsidRPr="008D6141">
              <w:rPr>
                <w:rFonts w:eastAsia="Times New Roman"/>
              </w:rPr>
              <w:t>Indicator</w:t>
            </w:r>
          </w:p>
        </w:tc>
        <w:tc>
          <w:tcPr>
            <w:tcW w:w="1854" w:type="pct"/>
            <w:shd w:val="clear" w:color="auto" w:fill="00457C"/>
            <w:noWrap/>
            <w:hideMark/>
          </w:tcPr>
          <w:p w:rsidR="008D6141" w:rsidRPr="008D6141" w:rsidRDefault="008D6141" w:rsidP="006D1A5D">
            <w:pPr>
              <w:cnfStyle w:val="100000000000" w:firstRow="1"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Source</w:t>
            </w:r>
          </w:p>
        </w:tc>
        <w:tc>
          <w:tcPr>
            <w:tcW w:w="884" w:type="pct"/>
            <w:shd w:val="clear" w:color="auto" w:fill="00457C"/>
            <w:noWrap/>
            <w:hideMark/>
          </w:tcPr>
          <w:p w:rsidR="008D6141" w:rsidRPr="008D6141" w:rsidRDefault="008D6141" w:rsidP="006D1A5D">
            <w:pPr>
              <w:cnfStyle w:val="100000000000" w:firstRow="1"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Most Recent Year of Data</w:t>
            </w:r>
          </w:p>
        </w:tc>
      </w:tr>
      <w:tr w:rsidR="008D6141"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8D6141" w:rsidRPr="008D6141" w:rsidRDefault="008D6141" w:rsidP="006D1A5D">
            <w:pPr>
              <w:rPr>
                <w:rFonts w:eastAsia="Times New Roman"/>
              </w:rPr>
            </w:pPr>
            <w:r w:rsidRPr="008D6141">
              <w:rPr>
                <w:rFonts w:eastAsia="Times New Roman"/>
              </w:rPr>
              <w:t>Adult 30-Day Illicit Drug Use</w:t>
            </w:r>
          </w:p>
        </w:tc>
        <w:tc>
          <w:tcPr>
            <w:tcW w:w="1854" w:type="pct"/>
            <w:tcBorders>
              <w:top w:val="none" w:sz="0" w:space="0" w:color="auto"/>
              <w:bottom w:val="none" w:sz="0" w:space="0" w:color="auto"/>
            </w:tcBorders>
            <w:noWrap/>
            <w:hideMark/>
          </w:tcPr>
          <w:p w:rsidR="008D6141" w:rsidRPr="008D6141" w:rsidRDefault="008D6141" w:rsidP="006D1A5D">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National Study on Drug Use and Health (NSDUH)</w:t>
            </w:r>
          </w:p>
        </w:tc>
        <w:tc>
          <w:tcPr>
            <w:tcW w:w="884" w:type="pct"/>
            <w:tcBorders>
              <w:top w:val="none" w:sz="0" w:space="0" w:color="auto"/>
              <w:bottom w:val="none" w:sz="0" w:space="0" w:color="auto"/>
              <w:right w:val="none" w:sz="0" w:space="0" w:color="auto"/>
            </w:tcBorders>
            <w:noWrap/>
            <w:hideMark/>
          </w:tcPr>
          <w:p w:rsidR="008D6141" w:rsidRPr="008D6141" w:rsidRDefault="008D6141" w:rsidP="006D1A5D">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2008</w:t>
            </w:r>
          </w:p>
        </w:tc>
      </w:tr>
      <w:tr w:rsidR="008D6141"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8D6141" w:rsidRPr="008D6141" w:rsidRDefault="008D6141" w:rsidP="006D1A5D">
            <w:pPr>
              <w:rPr>
                <w:rFonts w:eastAsia="Times New Roman"/>
              </w:rPr>
            </w:pPr>
            <w:r w:rsidRPr="008D6141">
              <w:rPr>
                <w:rFonts w:eastAsia="Times New Roman"/>
              </w:rPr>
              <w:t>Adult 30-Day Marijuana Use</w:t>
            </w:r>
          </w:p>
        </w:tc>
        <w:tc>
          <w:tcPr>
            <w:tcW w:w="1854" w:type="pct"/>
            <w:noWrap/>
            <w:hideMark/>
          </w:tcPr>
          <w:p w:rsidR="008D6141" w:rsidRPr="008D6141" w:rsidRDefault="008D6141" w:rsidP="006D1A5D">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National Study on Drug Use and Health (NSDUH)</w:t>
            </w:r>
          </w:p>
        </w:tc>
        <w:tc>
          <w:tcPr>
            <w:tcW w:w="884" w:type="pct"/>
            <w:noWrap/>
            <w:hideMark/>
          </w:tcPr>
          <w:p w:rsidR="008D6141" w:rsidRPr="008D6141" w:rsidRDefault="008D6141" w:rsidP="006D1A5D">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2008</w:t>
            </w:r>
          </w:p>
        </w:tc>
      </w:tr>
      <w:tr w:rsidR="008D6141"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8D6141" w:rsidRPr="008D6141" w:rsidRDefault="008D6141" w:rsidP="006D1A5D">
            <w:pPr>
              <w:rPr>
                <w:rFonts w:eastAsia="Times New Roman"/>
              </w:rPr>
            </w:pPr>
            <w:r w:rsidRPr="008D6141">
              <w:rPr>
                <w:rFonts w:eastAsia="Times New Roman"/>
              </w:rPr>
              <w:t>Adult Alcohol Dependence</w:t>
            </w:r>
          </w:p>
        </w:tc>
        <w:tc>
          <w:tcPr>
            <w:tcW w:w="1854" w:type="pct"/>
            <w:tcBorders>
              <w:top w:val="none" w:sz="0" w:space="0" w:color="auto"/>
              <w:bottom w:val="none" w:sz="0" w:space="0" w:color="auto"/>
            </w:tcBorders>
            <w:noWrap/>
            <w:hideMark/>
          </w:tcPr>
          <w:p w:rsidR="008D6141" w:rsidRPr="008D6141" w:rsidRDefault="008D6141" w:rsidP="006D1A5D">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National Study on Drug Use and Health (NSDUH)</w:t>
            </w:r>
          </w:p>
        </w:tc>
        <w:tc>
          <w:tcPr>
            <w:tcW w:w="884" w:type="pct"/>
            <w:tcBorders>
              <w:top w:val="none" w:sz="0" w:space="0" w:color="auto"/>
              <w:bottom w:val="none" w:sz="0" w:space="0" w:color="auto"/>
              <w:right w:val="none" w:sz="0" w:space="0" w:color="auto"/>
            </w:tcBorders>
            <w:noWrap/>
            <w:hideMark/>
          </w:tcPr>
          <w:p w:rsidR="008D6141" w:rsidRPr="008D6141" w:rsidRDefault="008D6141" w:rsidP="006D1A5D">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2008</w:t>
            </w:r>
          </w:p>
        </w:tc>
      </w:tr>
      <w:tr w:rsidR="008D6141"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8D6141" w:rsidRPr="008D6141" w:rsidRDefault="008D6141" w:rsidP="006D1A5D">
            <w:pPr>
              <w:rPr>
                <w:rFonts w:eastAsia="Times New Roman"/>
              </w:rPr>
            </w:pPr>
            <w:r w:rsidRPr="008D6141">
              <w:rPr>
                <w:rFonts w:eastAsia="Times New Roman"/>
              </w:rPr>
              <w:t>Adult Binge Drinking</w:t>
            </w:r>
          </w:p>
        </w:tc>
        <w:tc>
          <w:tcPr>
            <w:tcW w:w="1854" w:type="pct"/>
            <w:noWrap/>
            <w:hideMark/>
          </w:tcPr>
          <w:p w:rsidR="008D6141" w:rsidRPr="008D6141" w:rsidRDefault="008D6141" w:rsidP="006D1A5D">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Behavioral Risk Factor Surveillance System</w:t>
            </w:r>
            <w:r w:rsidR="00882A30">
              <w:rPr>
                <w:rFonts w:eastAsia="Times New Roman"/>
              </w:rPr>
              <w:t xml:space="preserve"> (BRFSS)</w:t>
            </w:r>
          </w:p>
        </w:tc>
        <w:tc>
          <w:tcPr>
            <w:tcW w:w="884" w:type="pct"/>
            <w:noWrap/>
            <w:hideMark/>
          </w:tcPr>
          <w:p w:rsidR="008D6141" w:rsidRPr="008D6141" w:rsidRDefault="008D6141" w:rsidP="006D1A5D">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2009</w:t>
            </w:r>
          </w:p>
        </w:tc>
      </w:tr>
      <w:tr w:rsidR="008D6141"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8D6141" w:rsidRPr="008D6141" w:rsidRDefault="008D6141" w:rsidP="006D1A5D">
            <w:pPr>
              <w:rPr>
                <w:rFonts w:eastAsia="Times New Roman"/>
              </w:rPr>
            </w:pPr>
            <w:r w:rsidRPr="008D6141">
              <w:rPr>
                <w:rFonts w:eastAsia="Times New Roman"/>
              </w:rPr>
              <w:t>Adult Current Cigarette</w:t>
            </w:r>
          </w:p>
        </w:tc>
        <w:tc>
          <w:tcPr>
            <w:tcW w:w="1854" w:type="pct"/>
            <w:tcBorders>
              <w:top w:val="none" w:sz="0" w:space="0" w:color="auto"/>
              <w:bottom w:val="none" w:sz="0" w:space="0" w:color="auto"/>
            </w:tcBorders>
            <w:noWrap/>
            <w:hideMark/>
          </w:tcPr>
          <w:p w:rsidR="008D6141" w:rsidRPr="008D6141" w:rsidRDefault="008D6141" w:rsidP="006D1A5D">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Behavioral Risk Factor Surveillance System</w:t>
            </w:r>
            <w:r w:rsidR="00882A30">
              <w:rPr>
                <w:rFonts w:eastAsia="Times New Roman"/>
              </w:rPr>
              <w:t xml:space="preserve"> (BRFSS)</w:t>
            </w:r>
          </w:p>
        </w:tc>
        <w:tc>
          <w:tcPr>
            <w:tcW w:w="884" w:type="pct"/>
            <w:tcBorders>
              <w:top w:val="none" w:sz="0" w:space="0" w:color="auto"/>
              <w:bottom w:val="none" w:sz="0" w:space="0" w:color="auto"/>
              <w:right w:val="none" w:sz="0" w:space="0" w:color="auto"/>
            </w:tcBorders>
            <w:noWrap/>
            <w:hideMark/>
          </w:tcPr>
          <w:p w:rsidR="008D6141" w:rsidRPr="008D6141" w:rsidRDefault="008D6141" w:rsidP="006D1A5D">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2009</w:t>
            </w:r>
          </w:p>
        </w:tc>
      </w:tr>
      <w:tr w:rsidR="008D6141"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8D6141" w:rsidRPr="008D6141" w:rsidRDefault="008D6141" w:rsidP="006D1A5D">
            <w:pPr>
              <w:rPr>
                <w:rFonts w:eastAsia="Times New Roman"/>
              </w:rPr>
            </w:pPr>
            <w:r w:rsidRPr="008D6141">
              <w:rPr>
                <w:rFonts w:eastAsia="Times New Roman"/>
              </w:rPr>
              <w:t>Adult Current Drinking</w:t>
            </w:r>
          </w:p>
        </w:tc>
        <w:tc>
          <w:tcPr>
            <w:tcW w:w="1854" w:type="pct"/>
            <w:noWrap/>
            <w:hideMark/>
          </w:tcPr>
          <w:p w:rsidR="008D6141" w:rsidRPr="008D6141" w:rsidRDefault="008D6141" w:rsidP="006D1A5D">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Behavioral Risk Factor Surveillance System</w:t>
            </w:r>
            <w:r w:rsidR="00882A30">
              <w:rPr>
                <w:rFonts w:eastAsia="Times New Roman"/>
              </w:rPr>
              <w:t xml:space="preserve"> (BRFSS)</w:t>
            </w:r>
          </w:p>
        </w:tc>
        <w:tc>
          <w:tcPr>
            <w:tcW w:w="884" w:type="pct"/>
            <w:noWrap/>
            <w:hideMark/>
          </w:tcPr>
          <w:p w:rsidR="008D6141" w:rsidRPr="008D6141" w:rsidRDefault="008D6141" w:rsidP="006D1A5D">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2009</w:t>
            </w:r>
          </w:p>
        </w:tc>
      </w:tr>
      <w:tr w:rsidR="008D6141"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8D6141" w:rsidRPr="008D6141" w:rsidRDefault="008D6141" w:rsidP="006D1A5D">
            <w:pPr>
              <w:rPr>
                <w:rFonts w:eastAsia="Times New Roman"/>
              </w:rPr>
            </w:pPr>
            <w:r w:rsidRPr="008D6141">
              <w:rPr>
                <w:rFonts w:eastAsia="Times New Roman"/>
              </w:rPr>
              <w:t>Adult Drinking And Driving</w:t>
            </w:r>
          </w:p>
        </w:tc>
        <w:tc>
          <w:tcPr>
            <w:tcW w:w="1854" w:type="pct"/>
            <w:tcBorders>
              <w:top w:val="none" w:sz="0" w:space="0" w:color="auto"/>
              <w:bottom w:val="none" w:sz="0" w:space="0" w:color="auto"/>
            </w:tcBorders>
            <w:noWrap/>
            <w:hideMark/>
          </w:tcPr>
          <w:p w:rsidR="008D6141" w:rsidRPr="008D6141" w:rsidRDefault="008D6141" w:rsidP="006D1A5D">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Behavioral Risk Factor Surveillance System</w:t>
            </w:r>
            <w:r w:rsidR="00882A30">
              <w:rPr>
                <w:rFonts w:eastAsia="Times New Roman"/>
              </w:rPr>
              <w:t xml:space="preserve"> (BRFSS)</w:t>
            </w:r>
          </w:p>
        </w:tc>
        <w:tc>
          <w:tcPr>
            <w:tcW w:w="884" w:type="pct"/>
            <w:tcBorders>
              <w:top w:val="none" w:sz="0" w:space="0" w:color="auto"/>
              <w:bottom w:val="none" w:sz="0" w:space="0" w:color="auto"/>
              <w:right w:val="none" w:sz="0" w:space="0" w:color="auto"/>
            </w:tcBorders>
            <w:noWrap/>
            <w:hideMark/>
          </w:tcPr>
          <w:p w:rsidR="008D6141" w:rsidRPr="008D6141" w:rsidRDefault="008D6141" w:rsidP="006D1A5D">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2009</w:t>
            </w:r>
          </w:p>
        </w:tc>
      </w:tr>
      <w:tr w:rsidR="008D6141"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8D6141" w:rsidRPr="008D6141" w:rsidRDefault="008D6141" w:rsidP="006D1A5D">
            <w:pPr>
              <w:rPr>
                <w:rFonts w:eastAsia="Times New Roman"/>
              </w:rPr>
            </w:pPr>
            <w:r w:rsidRPr="008D6141">
              <w:rPr>
                <w:rFonts w:eastAsia="Times New Roman"/>
              </w:rPr>
              <w:t>Adult Drug Dependence</w:t>
            </w:r>
          </w:p>
        </w:tc>
        <w:tc>
          <w:tcPr>
            <w:tcW w:w="1854" w:type="pct"/>
            <w:noWrap/>
            <w:hideMark/>
          </w:tcPr>
          <w:p w:rsidR="008D6141" w:rsidRPr="008D6141" w:rsidRDefault="008D6141" w:rsidP="006D1A5D">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National Study on Drug Use and Health (NSDUH)</w:t>
            </w:r>
          </w:p>
        </w:tc>
        <w:tc>
          <w:tcPr>
            <w:tcW w:w="884" w:type="pct"/>
            <w:noWrap/>
            <w:hideMark/>
          </w:tcPr>
          <w:p w:rsidR="008D6141" w:rsidRPr="008D6141" w:rsidRDefault="008D6141" w:rsidP="006D1A5D">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2008</w:t>
            </w:r>
          </w:p>
        </w:tc>
      </w:tr>
      <w:tr w:rsidR="008D6141"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8D6141" w:rsidRPr="008D6141" w:rsidRDefault="008D6141" w:rsidP="006D1A5D">
            <w:pPr>
              <w:rPr>
                <w:rFonts w:eastAsia="Times New Roman"/>
              </w:rPr>
            </w:pPr>
            <w:r w:rsidRPr="008D6141">
              <w:rPr>
                <w:rFonts w:eastAsia="Times New Roman"/>
              </w:rPr>
              <w:t>Adult Heavy Alcohol Use</w:t>
            </w:r>
          </w:p>
        </w:tc>
        <w:tc>
          <w:tcPr>
            <w:tcW w:w="1854" w:type="pct"/>
            <w:tcBorders>
              <w:top w:val="none" w:sz="0" w:space="0" w:color="auto"/>
              <w:bottom w:val="none" w:sz="0" w:space="0" w:color="auto"/>
            </w:tcBorders>
            <w:noWrap/>
            <w:hideMark/>
          </w:tcPr>
          <w:p w:rsidR="008D6141" w:rsidRPr="008D6141" w:rsidRDefault="008D6141" w:rsidP="006D1A5D">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Behavioral Risk Factor Surveillance System</w:t>
            </w:r>
            <w:r w:rsidR="00882A30">
              <w:rPr>
                <w:rFonts w:eastAsia="Times New Roman"/>
              </w:rPr>
              <w:t xml:space="preserve"> (BRFSS)</w:t>
            </w:r>
          </w:p>
        </w:tc>
        <w:tc>
          <w:tcPr>
            <w:tcW w:w="884" w:type="pct"/>
            <w:tcBorders>
              <w:top w:val="none" w:sz="0" w:space="0" w:color="auto"/>
              <w:bottom w:val="none" w:sz="0" w:space="0" w:color="auto"/>
              <w:right w:val="none" w:sz="0" w:space="0" w:color="auto"/>
            </w:tcBorders>
            <w:noWrap/>
            <w:hideMark/>
          </w:tcPr>
          <w:p w:rsidR="008D6141" w:rsidRPr="008D6141" w:rsidRDefault="008D6141" w:rsidP="006D1A5D">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2009</w:t>
            </w:r>
          </w:p>
        </w:tc>
      </w:tr>
      <w:tr w:rsidR="008D6141"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8D6141" w:rsidRPr="008D6141" w:rsidRDefault="008D6141" w:rsidP="006D1A5D">
            <w:pPr>
              <w:rPr>
                <w:rFonts w:eastAsia="Times New Roman"/>
              </w:rPr>
            </w:pPr>
            <w:r w:rsidRPr="008D6141">
              <w:rPr>
                <w:rFonts w:eastAsia="Times New Roman"/>
              </w:rPr>
              <w:t>Adult Heavy Cigarette Use</w:t>
            </w:r>
          </w:p>
        </w:tc>
        <w:tc>
          <w:tcPr>
            <w:tcW w:w="1854" w:type="pct"/>
            <w:noWrap/>
            <w:hideMark/>
          </w:tcPr>
          <w:p w:rsidR="008D6141" w:rsidRPr="008D6141" w:rsidRDefault="008D6141" w:rsidP="006D1A5D">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Behavioral Risk Factor Surveillance System</w:t>
            </w:r>
            <w:r w:rsidR="00882A30">
              <w:rPr>
                <w:rFonts w:eastAsia="Times New Roman"/>
              </w:rPr>
              <w:t xml:space="preserve"> (BRFSS)</w:t>
            </w:r>
          </w:p>
        </w:tc>
        <w:tc>
          <w:tcPr>
            <w:tcW w:w="884" w:type="pct"/>
            <w:noWrap/>
            <w:hideMark/>
          </w:tcPr>
          <w:p w:rsidR="008D6141" w:rsidRPr="008D6141" w:rsidRDefault="008D6141" w:rsidP="006D1A5D">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2009</w:t>
            </w:r>
          </w:p>
        </w:tc>
      </w:tr>
      <w:tr w:rsidR="008D6141"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8D6141" w:rsidRPr="008D6141" w:rsidRDefault="008D6141" w:rsidP="006D1A5D">
            <w:pPr>
              <w:rPr>
                <w:rFonts w:eastAsia="Times New Roman"/>
              </w:rPr>
            </w:pPr>
            <w:r w:rsidRPr="008D6141">
              <w:rPr>
                <w:rFonts w:eastAsia="Times New Roman"/>
              </w:rPr>
              <w:t>Adult Past Year Rx Pain Reliever Use</w:t>
            </w:r>
          </w:p>
        </w:tc>
        <w:tc>
          <w:tcPr>
            <w:tcW w:w="1854" w:type="pct"/>
            <w:tcBorders>
              <w:top w:val="none" w:sz="0" w:space="0" w:color="auto"/>
              <w:bottom w:val="none" w:sz="0" w:space="0" w:color="auto"/>
            </w:tcBorders>
            <w:noWrap/>
            <w:hideMark/>
          </w:tcPr>
          <w:p w:rsidR="008D6141" w:rsidRPr="008D6141" w:rsidRDefault="008D6141" w:rsidP="006D1A5D">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National Study on Drug Use and Health (NSDUH)</w:t>
            </w:r>
          </w:p>
        </w:tc>
        <w:tc>
          <w:tcPr>
            <w:tcW w:w="884" w:type="pct"/>
            <w:tcBorders>
              <w:top w:val="none" w:sz="0" w:space="0" w:color="auto"/>
              <w:bottom w:val="none" w:sz="0" w:space="0" w:color="auto"/>
              <w:right w:val="none" w:sz="0" w:space="0" w:color="auto"/>
            </w:tcBorders>
            <w:noWrap/>
            <w:hideMark/>
          </w:tcPr>
          <w:p w:rsidR="008D6141" w:rsidRPr="008D6141" w:rsidRDefault="008D6141" w:rsidP="006D1A5D">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2008</w:t>
            </w:r>
          </w:p>
        </w:tc>
      </w:tr>
      <w:tr w:rsidR="008D6141"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8D6141" w:rsidRPr="008D6141" w:rsidRDefault="008D6141" w:rsidP="006D1A5D">
            <w:pPr>
              <w:rPr>
                <w:rFonts w:eastAsia="Times New Roman"/>
              </w:rPr>
            </w:pPr>
            <w:r w:rsidRPr="008D6141">
              <w:rPr>
                <w:rFonts w:eastAsia="Times New Roman"/>
              </w:rPr>
              <w:t>Alcohol Related Crash Fatalities and Seatbelt Use</w:t>
            </w:r>
          </w:p>
        </w:tc>
        <w:tc>
          <w:tcPr>
            <w:tcW w:w="1854" w:type="pct"/>
            <w:noWrap/>
            <w:hideMark/>
          </w:tcPr>
          <w:p w:rsidR="008D6141" w:rsidRPr="008D6141" w:rsidRDefault="008D6141" w:rsidP="006D1A5D">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Highway Safety Research Group</w:t>
            </w:r>
            <w:r w:rsidR="00882A30">
              <w:rPr>
                <w:rFonts w:eastAsia="Times New Roman"/>
              </w:rPr>
              <w:t xml:space="preserve"> (HSRG)</w:t>
            </w:r>
          </w:p>
        </w:tc>
        <w:tc>
          <w:tcPr>
            <w:tcW w:w="884" w:type="pct"/>
            <w:noWrap/>
            <w:hideMark/>
          </w:tcPr>
          <w:p w:rsidR="008D6141" w:rsidRPr="008D6141" w:rsidRDefault="008D6141" w:rsidP="006D1A5D">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2011</w:t>
            </w:r>
          </w:p>
        </w:tc>
      </w:tr>
      <w:tr w:rsidR="008D6141"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8D6141" w:rsidRPr="008D6141" w:rsidRDefault="008D6141" w:rsidP="006D1A5D">
            <w:pPr>
              <w:rPr>
                <w:rFonts w:eastAsia="Times New Roman"/>
              </w:rPr>
            </w:pPr>
            <w:r w:rsidRPr="008D6141">
              <w:rPr>
                <w:rFonts w:eastAsia="Times New Roman"/>
              </w:rPr>
              <w:t>Alcohol Related Fatal Crashes (FARS)</w:t>
            </w:r>
          </w:p>
        </w:tc>
        <w:tc>
          <w:tcPr>
            <w:tcW w:w="1854" w:type="pct"/>
            <w:tcBorders>
              <w:top w:val="none" w:sz="0" w:space="0" w:color="auto"/>
              <w:bottom w:val="none" w:sz="0" w:space="0" w:color="auto"/>
            </w:tcBorders>
            <w:noWrap/>
            <w:hideMark/>
          </w:tcPr>
          <w:p w:rsidR="008D6141" w:rsidRPr="008D6141" w:rsidRDefault="008D6141" w:rsidP="006D1A5D">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Uniform Crime Reporting</w:t>
            </w:r>
            <w:r w:rsidR="00536982">
              <w:rPr>
                <w:rFonts w:eastAsia="Times New Roman"/>
              </w:rPr>
              <w:t xml:space="preserve"> (UCR)</w:t>
            </w:r>
          </w:p>
        </w:tc>
        <w:tc>
          <w:tcPr>
            <w:tcW w:w="884" w:type="pct"/>
            <w:tcBorders>
              <w:top w:val="none" w:sz="0" w:space="0" w:color="auto"/>
              <w:bottom w:val="none" w:sz="0" w:space="0" w:color="auto"/>
              <w:right w:val="none" w:sz="0" w:space="0" w:color="auto"/>
            </w:tcBorders>
            <w:noWrap/>
            <w:hideMark/>
          </w:tcPr>
          <w:p w:rsidR="008D6141" w:rsidRPr="008D6141" w:rsidRDefault="008D6141" w:rsidP="006D1A5D">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2009</w:t>
            </w:r>
          </w:p>
        </w:tc>
      </w:tr>
      <w:tr w:rsidR="008D6141"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8D6141" w:rsidRPr="008D6141" w:rsidRDefault="008D6141" w:rsidP="006D1A5D">
            <w:pPr>
              <w:rPr>
                <w:rFonts w:eastAsia="Times New Roman"/>
              </w:rPr>
            </w:pPr>
            <w:r w:rsidRPr="008D6141">
              <w:rPr>
                <w:rFonts w:eastAsia="Times New Roman"/>
              </w:rPr>
              <w:t>Alcohol Related Motor Vehicle Crashes-Fatal</w:t>
            </w:r>
          </w:p>
        </w:tc>
        <w:tc>
          <w:tcPr>
            <w:tcW w:w="1854" w:type="pct"/>
            <w:noWrap/>
            <w:hideMark/>
          </w:tcPr>
          <w:p w:rsidR="008D6141" w:rsidRPr="008D6141" w:rsidRDefault="008D6141" w:rsidP="006D1A5D">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Highway Safety Research Group</w:t>
            </w:r>
            <w:r w:rsidR="00882A30">
              <w:rPr>
                <w:rFonts w:eastAsia="Times New Roman"/>
              </w:rPr>
              <w:t xml:space="preserve"> (HSRG)</w:t>
            </w:r>
          </w:p>
        </w:tc>
        <w:tc>
          <w:tcPr>
            <w:tcW w:w="884" w:type="pct"/>
            <w:noWrap/>
            <w:hideMark/>
          </w:tcPr>
          <w:p w:rsidR="008D6141" w:rsidRPr="008D6141" w:rsidRDefault="008D6141" w:rsidP="006D1A5D">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2011</w:t>
            </w:r>
          </w:p>
        </w:tc>
      </w:tr>
      <w:tr w:rsidR="008D6141"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8D6141" w:rsidRPr="008D6141" w:rsidRDefault="008D6141" w:rsidP="006D1A5D">
            <w:pPr>
              <w:rPr>
                <w:rFonts w:eastAsia="Times New Roman"/>
              </w:rPr>
            </w:pPr>
            <w:r w:rsidRPr="008D6141">
              <w:rPr>
                <w:rFonts w:eastAsia="Times New Roman"/>
              </w:rPr>
              <w:t>Alcohol Related Motor Vehicle Crashes-Fatal By Age</w:t>
            </w:r>
          </w:p>
        </w:tc>
        <w:tc>
          <w:tcPr>
            <w:tcW w:w="1854" w:type="pct"/>
            <w:tcBorders>
              <w:top w:val="none" w:sz="0" w:space="0" w:color="auto"/>
              <w:bottom w:val="none" w:sz="0" w:space="0" w:color="auto"/>
            </w:tcBorders>
            <w:noWrap/>
            <w:hideMark/>
          </w:tcPr>
          <w:p w:rsidR="008D6141" w:rsidRPr="008D6141" w:rsidRDefault="008D6141" w:rsidP="006D1A5D">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Highway Safety Research Group</w:t>
            </w:r>
            <w:r w:rsidR="00882A30">
              <w:rPr>
                <w:rFonts w:eastAsia="Times New Roman"/>
              </w:rPr>
              <w:t xml:space="preserve"> (HSRG)</w:t>
            </w:r>
          </w:p>
        </w:tc>
        <w:tc>
          <w:tcPr>
            <w:tcW w:w="884" w:type="pct"/>
            <w:tcBorders>
              <w:top w:val="none" w:sz="0" w:space="0" w:color="auto"/>
              <w:bottom w:val="none" w:sz="0" w:space="0" w:color="auto"/>
              <w:right w:val="none" w:sz="0" w:space="0" w:color="auto"/>
            </w:tcBorders>
            <w:noWrap/>
            <w:hideMark/>
          </w:tcPr>
          <w:p w:rsidR="008D6141" w:rsidRPr="008D6141" w:rsidRDefault="008D6141" w:rsidP="006D1A5D">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2011</w:t>
            </w:r>
          </w:p>
        </w:tc>
      </w:tr>
      <w:tr w:rsidR="008D6141"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8D6141" w:rsidRPr="008D6141" w:rsidRDefault="008D6141" w:rsidP="006D1A5D">
            <w:pPr>
              <w:rPr>
                <w:rFonts w:eastAsia="Times New Roman"/>
              </w:rPr>
            </w:pPr>
            <w:r w:rsidRPr="008D6141">
              <w:rPr>
                <w:rFonts w:eastAsia="Times New Roman"/>
              </w:rPr>
              <w:t>Alcohol Related Motor Vehicle Crashes-Fatal by Month</w:t>
            </w:r>
          </w:p>
        </w:tc>
        <w:tc>
          <w:tcPr>
            <w:tcW w:w="1854" w:type="pct"/>
            <w:noWrap/>
            <w:hideMark/>
          </w:tcPr>
          <w:p w:rsidR="008D6141" w:rsidRPr="008D6141" w:rsidRDefault="008D6141" w:rsidP="006D1A5D">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Highway Safety Research Group</w:t>
            </w:r>
            <w:r w:rsidR="00882A30">
              <w:rPr>
                <w:rFonts w:eastAsia="Times New Roman"/>
              </w:rPr>
              <w:t xml:space="preserve"> (HSRG)</w:t>
            </w:r>
          </w:p>
        </w:tc>
        <w:tc>
          <w:tcPr>
            <w:tcW w:w="884" w:type="pct"/>
            <w:noWrap/>
            <w:hideMark/>
          </w:tcPr>
          <w:p w:rsidR="008D6141" w:rsidRPr="008D6141" w:rsidRDefault="008D6141" w:rsidP="006D1A5D">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2011</w:t>
            </w:r>
          </w:p>
        </w:tc>
      </w:tr>
      <w:tr w:rsidR="008D6141"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8D6141" w:rsidRPr="008D6141" w:rsidRDefault="008D6141" w:rsidP="006D1A5D">
            <w:pPr>
              <w:rPr>
                <w:rFonts w:eastAsia="Times New Roman"/>
              </w:rPr>
            </w:pPr>
            <w:r w:rsidRPr="008D6141">
              <w:rPr>
                <w:rFonts w:eastAsia="Times New Roman"/>
              </w:rPr>
              <w:t>Alcohol Related Motor Vehicle Crashes-Fatal By Time And Day</w:t>
            </w:r>
          </w:p>
        </w:tc>
        <w:tc>
          <w:tcPr>
            <w:tcW w:w="1854" w:type="pct"/>
            <w:tcBorders>
              <w:top w:val="none" w:sz="0" w:space="0" w:color="auto"/>
              <w:bottom w:val="none" w:sz="0" w:space="0" w:color="auto"/>
            </w:tcBorders>
            <w:noWrap/>
            <w:hideMark/>
          </w:tcPr>
          <w:p w:rsidR="008D6141" w:rsidRPr="008D6141" w:rsidRDefault="008D6141" w:rsidP="006D1A5D">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Highway Safety Research Group</w:t>
            </w:r>
            <w:r w:rsidR="00882A30">
              <w:rPr>
                <w:rFonts w:eastAsia="Times New Roman"/>
              </w:rPr>
              <w:t xml:space="preserve"> (HSRG)</w:t>
            </w:r>
          </w:p>
        </w:tc>
        <w:tc>
          <w:tcPr>
            <w:tcW w:w="884" w:type="pct"/>
            <w:tcBorders>
              <w:top w:val="none" w:sz="0" w:space="0" w:color="auto"/>
              <w:bottom w:val="none" w:sz="0" w:space="0" w:color="auto"/>
              <w:right w:val="none" w:sz="0" w:space="0" w:color="auto"/>
            </w:tcBorders>
            <w:noWrap/>
            <w:hideMark/>
          </w:tcPr>
          <w:p w:rsidR="008D6141" w:rsidRPr="008D6141" w:rsidRDefault="008D6141" w:rsidP="006D1A5D">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2011</w:t>
            </w:r>
          </w:p>
        </w:tc>
      </w:tr>
      <w:tr w:rsidR="008D6141"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8D6141" w:rsidRPr="008D6141" w:rsidRDefault="008D6141" w:rsidP="006D1A5D">
            <w:pPr>
              <w:rPr>
                <w:rFonts w:eastAsia="Times New Roman"/>
              </w:rPr>
            </w:pPr>
            <w:r w:rsidRPr="008D6141">
              <w:rPr>
                <w:rFonts w:eastAsia="Times New Roman"/>
              </w:rPr>
              <w:t>Alcohol Related Motor Vehicle Crashes-Fatal Underage Drivers</w:t>
            </w:r>
          </w:p>
        </w:tc>
        <w:tc>
          <w:tcPr>
            <w:tcW w:w="1854" w:type="pct"/>
            <w:noWrap/>
            <w:hideMark/>
          </w:tcPr>
          <w:p w:rsidR="008D6141" w:rsidRPr="008D6141" w:rsidRDefault="008D6141" w:rsidP="006D1A5D">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Highway Safety Research Group</w:t>
            </w:r>
            <w:r w:rsidR="00882A30">
              <w:rPr>
                <w:rFonts w:eastAsia="Times New Roman"/>
              </w:rPr>
              <w:t xml:space="preserve"> (HSRG)</w:t>
            </w:r>
          </w:p>
        </w:tc>
        <w:tc>
          <w:tcPr>
            <w:tcW w:w="884" w:type="pct"/>
            <w:noWrap/>
            <w:hideMark/>
          </w:tcPr>
          <w:p w:rsidR="008D6141" w:rsidRPr="008D6141" w:rsidRDefault="008D6141" w:rsidP="006D1A5D">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2011</w:t>
            </w:r>
          </w:p>
        </w:tc>
      </w:tr>
      <w:tr w:rsidR="008D6141"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8D6141" w:rsidRPr="008D6141" w:rsidRDefault="008D6141" w:rsidP="006D1A5D">
            <w:pPr>
              <w:rPr>
                <w:rFonts w:eastAsia="Times New Roman"/>
              </w:rPr>
            </w:pPr>
            <w:r w:rsidRPr="008D6141">
              <w:rPr>
                <w:rFonts w:eastAsia="Times New Roman"/>
              </w:rPr>
              <w:t>Alcohol Related Motor Vehicle Crashes-Injury</w:t>
            </w:r>
          </w:p>
        </w:tc>
        <w:tc>
          <w:tcPr>
            <w:tcW w:w="1854" w:type="pct"/>
            <w:tcBorders>
              <w:top w:val="none" w:sz="0" w:space="0" w:color="auto"/>
              <w:bottom w:val="none" w:sz="0" w:space="0" w:color="auto"/>
            </w:tcBorders>
            <w:noWrap/>
            <w:hideMark/>
          </w:tcPr>
          <w:p w:rsidR="008D6141" w:rsidRPr="008D6141" w:rsidRDefault="008D6141" w:rsidP="006D1A5D">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Highway Safety Research Group</w:t>
            </w:r>
            <w:r w:rsidR="00882A30">
              <w:rPr>
                <w:rFonts w:eastAsia="Times New Roman"/>
              </w:rPr>
              <w:t xml:space="preserve"> (HSRG)</w:t>
            </w:r>
          </w:p>
        </w:tc>
        <w:tc>
          <w:tcPr>
            <w:tcW w:w="884" w:type="pct"/>
            <w:tcBorders>
              <w:top w:val="none" w:sz="0" w:space="0" w:color="auto"/>
              <w:bottom w:val="none" w:sz="0" w:space="0" w:color="auto"/>
              <w:right w:val="none" w:sz="0" w:space="0" w:color="auto"/>
            </w:tcBorders>
            <w:noWrap/>
            <w:hideMark/>
          </w:tcPr>
          <w:p w:rsidR="008D6141" w:rsidRPr="008D6141" w:rsidRDefault="008D6141" w:rsidP="006D1A5D">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2011</w:t>
            </w:r>
          </w:p>
        </w:tc>
      </w:tr>
      <w:tr w:rsidR="008D6141"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8D6141" w:rsidRPr="008D6141" w:rsidRDefault="008D6141" w:rsidP="006D1A5D">
            <w:pPr>
              <w:rPr>
                <w:rFonts w:eastAsia="Times New Roman"/>
              </w:rPr>
            </w:pPr>
            <w:r w:rsidRPr="008D6141">
              <w:rPr>
                <w:rFonts w:eastAsia="Times New Roman"/>
              </w:rPr>
              <w:t>Alcohol Related Motor Vehicle Crashes-Injury By Age</w:t>
            </w:r>
          </w:p>
        </w:tc>
        <w:tc>
          <w:tcPr>
            <w:tcW w:w="1854" w:type="pct"/>
            <w:noWrap/>
            <w:hideMark/>
          </w:tcPr>
          <w:p w:rsidR="008D6141" w:rsidRPr="008D6141" w:rsidRDefault="008D6141" w:rsidP="006D1A5D">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Highway Safety Research Group</w:t>
            </w:r>
            <w:r w:rsidR="00882A30">
              <w:rPr>
                <w:rFonts w:eastAsia="Times New Roman"/>
              </w:rPr>
              <w:t xml:space="preserve"> (HSRG)</w:t>
            </w:r>
          </w:p>
        </w:tc>
        <w:tc>
          <w:tcPr>
            <w:tcW w:w="884" w:type="pct"/>
            <w:noWrap/>
            <w:hideMark/>
          </w:tcPr>
          <w:p w:rsidR="008D6141" w:rsidRPr="008D6141" w:rsidRDefault="008D6141" w:rsidP="006D1A5D">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2011</w:t>
            </w:r>
          </w:p>
        </w:tc>
      </w:tr>
      <w:tr w:rsidR="008D6141"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8D6141" w:rsidRPr="008D6141" w:rsidRDefault="008D6141" w:rsidP="006D1A5D">
            <w:pPr>
              <w:rPr>
                <w:rFonts w:eastAsia="Times New Roman"/>
              </w:rPr>
            </w:pPr>
            <w:r w:rsidRPr="008D6141">
              <w:rPr>
                <w:rFonts w:eastAsia="Times New Roman"/>
              </w:rPr>
              <w:t>Alcohol Related Motor Vehicle Crashes-Injury by Month</w:t>
            </w:r>
          </w:p>
        </w:tc>
        <w:tc>
          <w:tcPr>
            <w:tcW w:w="1854" w:type="pct"/>
            <w:tcBorders>
              <w:top w:val="none" w:sz="0" w:space="0" w:color="auto"/>
              <w:bottom w:val="none" w:sz="0" w:space="0" w:color="auto"/>
            </w:tcBorders>
            <w:noWrap/>
            <w:hideMark/>
          </w:tcPr>
          <w:p w:rsidR="008D6141" w:rsidRPr="008D6141" w:rsidRDefault="008D6141" w:rsidP="006D1A5D">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Highway Safety Research Group</w:t>
            </w:r>
            <w:r w:rsidR="00882A30">
              <w:rPr>
                <w:rFonts w:eastAsia="Times New Roman"/>
              </w:rPr>
              <w:t xml:space="preserve"> (HSRG)</w:t>
            </w:r>
          </w:p>
        </w:tc>
        <w:tc>
          <w:tcPr>
            <w:tcW w:w="884" w:type="pct"/>
            <w:tcBorders>
              <w:top w:val="none" w:sz="0" w:space="0" w:color="auto"/>
              <w:bottom w:val="none" w:sz="0" w:space="0" w:color="auto"/>
              <w:right w:val="none" w:sz="0" w:space="0" w:color="auto"/>
            </w:tcBorders>
            <w:noWrap/>
            <w:hideMark/>
          </w:tcPr>
          <w:p w:rsidR="008D6141" w:rsidRPr="008D6141" w:rsidRDefault="008D6141" w:rsidP="006D1A5D">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2011</w:t>
            </w:r>
          </w:p>
        </w:tc>
      </w:tr>
      <w:tr w:rsidR="008D6141"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8D6141" w:rsidRPr="008D6141" w:rsidRDefault="008D6141" w:rsidP="006D1A5D">
            <w:pPr>
              <w:rPr>
                <w:rFonts w:eastAsia="Times New Roman"/>
              </w:rPr>
            </w:pPr>
            <w:r w:rsidRPr="008D6141">
              <w:rPr>
                <w:rFonts w:eastAsia="Times New Roman"/>
              </w:rPr>
              <w:t>Alcohol Related Motor Vehicle Crashes-Injury By Time And Day</w:t>
            </w:r>
          </w:p>
        </w:tc>
        <w:tc>
          <w:tcPr>
            <w:tcW w:w="1854" w:type="pct"/>
            <w:noWrap/>
            <w:hideMark/>
          </w:tcPr>
          <w:p w:rsidR="008D6141" w:rsidRPr="008D6141" w:rsidRDefault="008D6141" w:rsidP="006D1A5D">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Highway Safety Research Group</w:t>
            </w:r>
            <w:r w:rsidR="00882A30">
              <w:rPr>
                <w:rFonts w:eastAsia="Times New Roman"/>
              </w:rPr>
              <w:t xml:space="preserve"> (HSRG)</w:t>
            </w:r>
          </w:p>
        </w:tc>
        <w:tc>
          <w:tcPr>
            <w:tcW w:w="884" w:type="pct"/>
            <w:noWrap/>
            <w:hideMark/>
          </w:tcPr>
          <w:p w:rsidR="008D6141" w:rsidRPr="008D6141" w:rsidRDefault="008D6141" w:rsidP="006D1A5D">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2011</w:t>
            </w:r>
          </w:p>
        </w:tc>
      </w:tr>
      <w:tr w:rsidR="008D6141"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8D6141" w:rsidRPr="008D6141" w:rsidRDefault="008D6141" w:rsidP="006D1A5D">
            <w:pPr>
              <w:rPr>
                <w:rFonts w:eastAsia="Times New Roman"/>
              </w:rPr>
            </w:pPr>
            <w:r w:rsidRPr="008D6141">
              <w:rPr>
                <w:rFonts w:eastAsia="Times New Roman"/>
              </w:rPr>
              <w:lastRenderedPageBreak/>
              <w:t>Alcohol Related Motor Vehicle Crashes-Injury Underage Drivers</w:t>
            </w:r>
          </w:p>
        </w:tc>
        <w:tc>
          <w:tcPr>
            <w:tcW w:w="1854" w:type="pct"/>
            <w:tcBorders>
              <w:top w:val="none" w:sz="0" w:space="0" w:color="auto"/>
              <w:bottom w:val="none" w:sz="0" w:space="0" w:color="auto"/>
            </w:tcBorders>
            <w:noWrap/>
            <w:hideMark/>
          </w:tcPr>
          <w:p w:rsidR="008D6141" w:rsidRPr="008D6141" w:rsidRDefault="008D6141" w:rsidP="006D1A5D">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Highway Safety Research Group</w:t>
            </w:r>
            <w:r w:rsidR="00882A30">
              <w:rPr>
                <w:rFonts w:eastAsia="Times New Roman"/>
              </w:rPr>
              <w:t xml:space="preserve"> (HSRG)</w:t>
            </w:r>
          </w:p>
        </w:tc>
        <w:tc>
          <w:tcPr>
            <w:tcW w:w="884" w:type="pct"/>
            <w:tcBorders>
              <w:top w:val="none" w:sz="0" w:space="0" w:color="auto"/>
              <w:bottom w:val="none" w:sz="0" w:space="0" w:color="auto"/>
              <w:right w:val="none" w:sz="0" w:space="0" w:color="auto"/>
            </w:tcBorders>
            <w:noWrap/>
            <w:hideMark/>
          </w:tcPr>
          <w:p w:rsidR="008D6141" w:rsidRPr="008D6141" w:rsidRDefault="008D6141" w:rsidP="006D1A5D">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2011</w:t>
            </w:r>
          </w:p>
        </w:tc>
      </w:tr>
      <w:tr w:rsidR="008D6141"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8D6141" w:rsidRPr="008D6141" w:rsidRDefault="008D6141" w:rsidP="006D1A5D">
            <w:pPr>
              <w:rPr>
                <w:rFonts w:eastAsia="Times New Roman"/>
              </w:rPr>
            </w:pPr>
            <w:r w:rsidRPr="008D6141">
              <w:rPr>
                <w:rFonts w:eastAsia="Times New Roman"/>
              </w:rPr>
              <w:t>Alcohol Related School Suspensions And Expulsions</w:t>
            </w:r>
          </w:p>
        </w:tc>
        <w:tc>
          <w:tcPr>
            <w:tcW w:w="1854" w:type="pct"/>
            <w:noWrap/>
            <w:hideMark/>
          </w:tcPr>
          <w:p w:rsidR="008D6141" w:rsidRPr="008D6141" w:rsidRDefault="008D6141" w:rsidP="006D1A5D">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Louisiana Department of Education</w:t>
            </w:r>
          </w:p>
        </w:tc>
        <w:tc>
          <w:tcPr>
            <w:tcW w:w="884" w:type="pct"/>
            <w:noWrap/>
            <w:hideMark/>
          </w:tcPr>
          <w:p w:rsidR="008D6141" w:rsidRPr="008D6141" w:rsidRDefault="008D6141" w:rsidP="006D1A5D">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2008</w:t>
            </w:r>
          </w:p>
        </w:tc>
      </w:tr>
      <w:tr w:rsidR="008D6141"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8D6141" w:rsidRPr="008D6141" w:rsidRDefault="008D6141" w:rsidP="006D1A5D">
            <w:pPr>
              <w:rPr>
                <w:rFonts w:eastAsia="Times New Roman"/>
              </w:rPr>
            </w:pPr>
            <w:r w:rsidRPr="008D6141">
              <w:rPr>
                <w:rFonts w:eastAsia="Times New Roman"/>
              </w:rPr>
              <w:t>Alcoholic Liver Disease Fatalities</w:t>
            </w:r>
          </w:p>
        </w:tc>
        <w:tc>
          <w:tcPr>
            <w:tcW w:w="1854" w:type="pct"/>
            <w:tcBorders>
              <w:top w:val="none" w:sz="0" w:space="0" w:color="auto"/>
              <w:bottom w:val="none" w:sz="0" w:space="0" w:color="auto"/>
            </w:tcBorders>
            <w:noWrap/>
            <w:hideMark/>
          </w:tcPr>
          <w:p w:rsidR="008D6141" w:rsidRPr="008D6141" w:rsidRDefault="008D6141" w:rsidP="006D1A5D">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National Vital Statistics System</w:t>
            </w:r>
            <w:r w:rsidR="002C6D99">
              <w:rPr>
                <w:rFonts w:eastAsia="Times New Roman"/>
              </w:rPr>
              <w:t xml:space="preserve"> (NVSS)</w:t>
            </w:r>
          </w:p>
        </w:tc>
        <w:tc>
          <w:tcPr>
            <w:tcW w:w="884" w:type="pct"/>
            <w:tcBorders>
              <w:top w:val="none" w:sz="0" w:space="0" w:color="auto"/>
              <w:bottom w:val="none" w:sz="0" w:space="0" w:color="auto"/>
              <w:right w:val="none" w:sz="0" w:space="0" w:color="auto"/>
            </w:tcBorders>
            <w:noWrap/>
            <w:hideMark/>
          </w:tcPr>
          <w:p w:rsidR="008D6141" w:rsidRPr="008D6141" w:rsidRDefault="008D6141" w:rsidP="006D1A5D">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2007</w:t>
            </w:r>
          </w:p>
        </w:tc>
      </w:tr>
      <w:tr w:rsidR="008D6141"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8D6141" w:rsidRPr="008D6141" w:rsidRDefault="008D6141" w:rsidP="006D1A5D">
            <w:pPr>
              <w:rPr>
                <w:rFonts w:eastAsia="Times New Roman"/>
              </w:rPr>
            </w:pPr>
            <w:r w:rsidRPr="008D6141">
              <w:rPr>
                <w:rFonts w:eastAsia="Times New Roman"/>
              </w:rPr>
              <w:t>Cardiovascular Disease Deaths-All</w:t>
            </w:r>
          </w:p>
        </w:tc>
        <w:tc>
          <w:tcPr>
            <w:tcW w:w="1854" w:type="pct"/>
            <w:noWrap/>
            <w:hideMark/>
          </w:tcPr>
          <w:p w:rsidR="008D6141" w:rsidRPr="008D6141" w:rsidRDefault="008D6141" w:rsidP="006D1A5D">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Louisiana Office of Public Health, Center for Records and Statistics</w:t>
            </w:r>
          </w:p>
        </w:tc>
        <w:tc>
          <w:tcPr>
            <w:tcW w:w="884" w:type="pct"/>
            <w:noWrap/>
            <w:hideMark/>
          </w:tcPr>
          <w:p w:rsidR="008D6141" w:rsidRPr="008D6141" w:rsidRDefault="008D6141" w:rsidP="006D1A5D">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2010</w:t>
            </w:r>
          </w:p>
        </w:tc>
      </w:tr>
      <w:tr w:rsidR="008D6141"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8D6141" w:rsidRPr="008D6141" w:rsidRDefault="008D6141" w:rsidP="006D1A5D">
            <w:pPr>
              <w:rPr>
                <w:rFonts w:eastAsia="Times New Roman"/>
              </w:rPr>
            </w:pPr>
            <w:r w:rsidRPr="008D6141">
              <w:rPr>
                <w:rFonts w:eastAsia="Times New Roman"/>
              </w:rPr>
              <w:t>Chronic Liver Disease Fatalities</w:t>
            </w:r>
          </w:p>
        </w:tc>
        <w:tc>
          <w:tcPr>
            <w:tcW w:w="1854" w:type="pct"/>
            <w:tcBorders>
              <w:top w:val="none" w:sz="0" w:space="0" w:color="auto"/>
              <w:bottom w:val="none" w:sz="0" w:space="0" w:color="auto"/>
            </w:tcBorders>
            <w:noWrap/>
            <w:hideMark/>
          </w:tcPr>
          <w:p w:rsidR="008D6141" w:rsidRPr="008D6141" w:rsidRDefault="008D6141" w:rsidP="006D1A5D">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Louisiana Office of Public Health, Center for Records and Statistics</w:t>
            </w:r>
          </w:p>
        </w:tc>
        <w:tc>
          <w:tcPr>
            <w:tcW w:w="884" w:type="pct"/>
            <w:tcBorders>
              <w:top w:val="none" w:sz="0" w:space="0" w:color="auto"/>
              <w:bottom w:val="none" w:sz="0" w:space="0" w:color="auto"/>
              <w:right w:val="none" w:sz="0" w:space="0" w:color="auto"/>
            </w:tcBorders>
            <w:noWrap/>
            <w:hideMark/>
          </w:tcPr>
          <w:p w:rsidR="008D6141" w:rsidRPr="008D6141" w:rsidRDefault="008D6141" w:rsidP="006D1A5D">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2010</w:t>
            </w:r>
          </w:p>
        </w:tc>
      </w:tr>
      <w:tr w:rsidR="008D6141"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8D6141" w:rsidRPr="008D6141" w:rsidRDefault="008D6141" w:rsidP="006D1A5D">
            <w:pPr>
              <w:rPr>
                <w:rFonts w:eastAsia="Times New Roman"/>
              </w:rPr>
            </w:pPr>
            <w:r w:rsidRPr="008D6141">
              <w:rPr>
                <w:rFonts w:eastAsia="Times New Roman"/>
              </w:rPr>
              <w:t>Controlled Substances Expulsions And Suspensions</w:t>
            </w:r>
          </w:p>
        </w:tc>
        <w:tc>
          <w:tcPr>
            <w:tcW w:w="1854" w:type="pct"/>
            <w:noWrap/>
            <w:hideMark/>
          </w:tcPr>
          <w:p w:rsidR="008D6141" w:rsidRPr="008D6141" w:rsidRDefault="008D6141" w:rsidP="006D1A5D">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Louisiana Department of Education</w:t>
            </w:r>
          </w:p>
        </w:tc>
        <w:tc>
          <w:tcPr>
            <w:tcW w:w="884" w:type="pct"/>
            <w:noWrap/>
            <w:hideMark/>
          </w:tcPr>
          <w:p w:rsidR="008D6141" w:rsidRPr="008D6141" w:rsidRDefault="008D6141" w:rsidP="006D1A5D">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2008</w:t>
            </w:r>
          </w:p>
        </w:tc>
      </w:tr>
      <w:tr w:rsidR="008D6141"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8D6141" w:rsidRPr="008D6141" w:rsidRDefault="008D6141" w:rsidP="006D1A5D">
            <w:pPr>
              <w:rPr>
                <w:rFonts w:eastAsia="Times New Roman"/>
              </w:rPr>
            </w:pPr>
            <w:r w:rsidRPr="008D6141">
              <w:rPr>
                <w:rFonts w:eastAsia="Times New Roman"/>
              </w:rPr>
              <w:t>Driving While Intoxicated</w:t>
            </w:r>
          </w:p>
        </w:tc>
        <w:tc>
          <w:tcPr>
            <w:tcW w:w="1854" w:type="pct"/>
            <w:tcBorders>
              <w:top w:val="none" w:sz="0" w:space="0" w:color="auto"/>
              <w:bottom w:val="none" w:sz="0" w:space="0" w:color="auto"/>
            </w:tcBorders>
            <w:noWrap/>
            <w:hideMark/>
          </w:tcPr>
          <w:p w:rsidR="008D6141" w:rsidRPr="008D6141" w:rsidRDefault="008D6141" w:rsidP="006D1A5D">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Highway Safety Research Group</w:t>
            </w:r>
            <w:r w:rsidR="002C6D99">
              <w:rPr>
                <w:rFonts w:eastAsia="Times New Roman"/>
              </w:rPr>
              <w:t xml:space="preserve"> (HSRG)</w:t>
            </w:r>
          </w:p>
        </w:tc>
        <w:tc>
          <w:tcPr>
            <w:tcW w:w="884" w:type="pct"/>
            <w:tcBorders>
              <w:top w:val="none" w:sz="0" w:space="0" w:color="auto"/>
              <w:bottom w:val="none" w:sz="0" w:space="0" w:color="auto"/>
              <w:right w:val="none" w:sz="0" w:space="0" w:color="auto"/>
            </w:tcBorders>
            <w:noWrap/>
            <w:hideMark/>
          </w:tcPr>
          <w:p w:rsidR="008D6141" w:rsidRPr="008D6141" w:rsidRDefault="008D6141" w:rsidP="006D1A5D">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2011</w:t>
            </w:r>
          </w:p>
        </w:tc>
      </w:tr>
      <w:tr w:rsidR="008D6141"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8D6141" w:rsidRPr="008D6141" w:rsidRDefault="008D6141" w:rsidP="006D1A5D">
            <w:pPr>
              <w:rPr>
                <w:rFonts w:eastAsia="Times New Roman"/>
              </w:rPr>
            </w:pPr>
            <w:r w:rsidRPr="008D6141">
              <w:rPr>
                <w:rFonts w:eastAsia="Times New Roman"/>
              </w:rPr>
              <w:t>Drug Poisoning Fatalities</w:t>
            </w:r>
          </w:p>
        </w:tc>
        <w:tc>
          <w:tcPr>
            <w:tcW w:w="1854" w:type="pct"/>
            <w:noWrap/>
            <w:hideMark/>
          </w:tcPr>
          <w:p w:rsidR="008D6141" w:rsidRPr="008D6141" w:rsidRDefault="008D6141" w:rsidP="006D1A5D">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National Vital Statistics System</w:t>
            </w:r>
            <w:r w:rsidR="002C6D99">
              <w:rPr>
                <w:rFonts w:eastAsia="Times New Roman"/>
              </w:rPr>
              <w:t xml:space="preserve"> (NVSS)</w:t>
            </w:r>
          </w:p>
        </w:tc>
        <w:tc>
          <w:tcPr>
            <w:tcW w:w="884" w:type="pct"/>
            <w:noWrap/>
            <w:hideMark/>
          </w:tcPr>
          <w:p w:rsidR="008D6141" w:rsidRPr="008D6141" w:rsidRDefault="008D6141" w:rsidP="006D1A5D">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2007</w:t>
            </w:r>
          </w:p>
        </w:tc>
      </w:tr>
      <w:tr w:rsidR="008D6141"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8D6141" w:rsidRPr="008D6141" w:rsidRDefault="008D6141" w:rsidP="006D1A5D">
            <w:pPr>
              <w:rPr>
                <w:rFonts w:eastAsia="Times New Roman"/>
              </w:rPr>
            </w:pPr>
            <w:r w:rsidRPr="008D6141">
              <w:rPr>
                <w:rFonts w:eastAsia="Times New Roman"/>
              </w:rPr>
              <w:t>Gallons Of Alcohol Sold</w:t>
            </w:r>
          </w:p>
        </w:tc>
        <w:tc>
          <w:tcPr>
            <w:tcW w:w="1854" w:type="pct"/>
            <w:tcBorders>
              <w:top w:val="none" w:sz="0" w:space="0" w:color="auto"/>
              <w:bottom w:val="none" w:sz="0" w:space="0" w:color="auto"/>
            </w:tcBorders>
            <w:noWrap/>
            <w:hideMark/>
          </w:tcPr>
          <w:p w:rsidR="008D6141" w:rsidRPr="008D6141" w:rsidRDefault="008D6141" w:rsidP="006D1A5D">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Alcohol Epidemiological Data System</w:t>
            </w:r>
          </w:p>
        </w:tc>
        <w:tc>
          <w:tcPr>
            <w:tcW w:w="884" w:type="pct"/>
            <w:tcBorders>
              <w:top w:val="none" w:sz="0" w:space="0" w:color="auto"/>
              <w:bottom w:val="none" w:sz="0" w:space="0" w:color="auto"/>
              <w:right w:val="none" w:sz="0" w:space="0" w:color="auto"/>
            </w:tcBorders>
            <w:noWrap/>
            <w:hideMark/>
          </w:tcPr>
          <w:p w:rsidR="008D6141" w:rsidRPr="008D6141" w:rsidRDefault="008D6141" w:rsidP="006D1A5D">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2008</w:t>
            </w:r>
          </w:p>
        </w:tc>
      </w:tr>
      <w:tr w:rsidR="008D6141"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8D6141" w:rsidRPr="008D6141" w:rsidRDefault="008D6141" w:rsidP="006D1A5D">
            <w:pPr>
              <w:rPr>
                <w:rFonts w:eastAsia="Times New Roman"/>
              </w:rPr>
            </w:pPr>
            <w:r w:rsidRPr="008D6141">
              <w:rPr>
                <w:rFonts w:eastAsia="Times New Roman"/>
              </w:rPr>
              <w:t>Higher Ed- Been Arrested For DUI</w:t>
            </w:r>
          </w:p>
        </w:tc>
        <w:tc>
          <w:tcPr>
            <w:tcW w:w="1854" w:type="pct"/>
            <w:noWrap/>
            <w:hideMark/>
          </w:tcPr>
          <w:p w:rsidR="008D6141" w:rsidRPr="008D6141" w:rsidRDefault="008D6141" w:rsidP="006D1A5D">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CORE Survey</w:t>
            </w:r>
          </w:p>
        </w:tc>
        <w:tc>
          <w:tcPr>
            <w:tcW w:w="884" w:type="pct"/>
            <w:noWrap/>
            <w:hideMark/>
          </w:tcPr>
          <w:p w:rsidR="008D6141" w:rsidRPr="008D6141" w:rsidRDefault="008D6141" w:rsidP="006D1A5D">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2011</w:t>
            </w:r>
          </w:p>
        </w:tc>
      </w:tr>
      <w:tr w:rsidR="008D6141"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8D6141" w:rsidRPr="008D6141" w:rsidRDefault="008D6141" w:rsidP="006D1A5D">
            <w:pPr>
              <w:rPr>
                <w:rFonts w:eastAsia="Times New Roman"/>
              </w:rPr>
            </w:pPr>
            <w:r w:rsidRPr="008D6141">
              <w:rPr>
                <w:rFonts w:eastAsia="Times New Roman"/>
              </w:rPr>
              <w:t>Higher Ed- Driven Under The Influence</w:t>
            </w:r>
          </w:p>
        </w:tc>
        <w:tc>
          <w:tcPr>
            <w:tcW w:w="1854" w:type="pct"/>
            <w:tcBorders>
              <w:top w:val="none" w:sz="0" w:space="0" w:color="auto"/>
              <w:bottom w:val="none" w:sz="0" w:space="0" w:color="auto"/>
            </w:tcBorders>
            <w:noWrap/>
            <w:hideMark/>
          </w:tcPr>
          <w:p w:rsidR="008D6141" w:rsidRPr="008D6141" w:rsidRDefault="008D6141" w:rsidP="006D1A5D">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CORE Survey</w:t>
            </w:r>
          </w:p>
        </w:tc>
        <w:tc>
          <w:tcPr>
            <w:tcW w:w="884" w:type="pct"/>
            <w:tcBorders>
              <w:top w:val="none" w:sz="0" w:space="0" w:color="auto"/>
              <w:bottom w:val="none" w:sz="0" w:space="0" w:color="auto"/>
              <w:right w:val="none" w:sz="0" w:space="0" w:color="auto"/>
            </w:tcBorders>
            <w:noWrap/>
            <w:hideMark/>
          </w:tcPr>
          <w:p w:rsidR="008D6141" w:rsidRPr="008D6141" w:rsidRDefault="008D6141" w:rsidP="006D1A5D">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2011</w:t>
            </w:r>
          </w:p>
        </w:tc>
      </w:tr>
      <w:tr w:rsidR="008D6141"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8D6141" w:rsidRPr="008D6141" w:rsidRDefault="008D6141" w:rsidP="006D1A5D">
            <w:pPr>
              <w:rPr>
                <w:rFonts w:eastAsia="Times New Roman"/>
              </w:rPr>
            </w:pPr>
            <w:r w:rsidRPr="008D6141">
              <w:rPr>
                <w:rFonts w:eastAsia="Times New Roman"/>
              </w:rPr>
              <w:t>Higher Ed-Actual Physical Violence And Substance Use</w:t>
            </w:r>
          </w:p>
        </w:tc>
        <w:tc>
          <w:tcPr>
            <w:tcW w:w="1854" w:type="pct"/>
            <w:noWrap/>
            <w:hideMark/>
          </w:tcPr>
          <w:p w:rsidR="008D6141" w:rsidRPr="008D6141" w:rsidRDefault="008D6141" w:rsidP="006D1A5D">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CORE Survey</w:t>
            </w:r>
          </w:p>
        </w:tc>
        <w:tc>
          <w:tcPr>
            <w:tcW w:w="884" w:type="pct"/>
            <w:noWrap/>
            <w:hideMark/>
          </w:tcPr>
          <w:p w:rsidR="008D6141" w:rsidRPr="008D6141" w:rsidRDefault="008D6141" w:rsidP="006D1A5D">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2011</w:t>
            </w:r>
          </w:p>
        </w:tc>
      </w:tr>
      <w:tr w:rsidR="008D6141"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8D6141" w:rsidRPr="008D6141" w:rsidRDefault="008D6141" w:rsidP="006D1A5D">
            <w:pPr>
              <w:rPr>
                <w:rFonts w:eastAsia="Times New Roman"/>
              </w:rPr>
            </w:pPr>
            <w:r w:rsidRPr="008D6141">
              <w:rPr>
                <w:rFonts w:eastAsia="Times New Roman"/>
              </w:rPr>
              <w:t>Higher Ed-Alcohol Use-30-Day</w:t>
            </w:r>
          </w:p>
        </w:tc>
        <w:tc>
          <w:tcPr>
            <w:tcW w:w="1854" w:type="pct"/>
            <w:tcBorders>
              <w:top w:val="none" w:sz="0" w:space="0" w:color="auto"/>
              <w:bottom w:val="none" w:sz="0" w:space="0" w:color="auto"/>
            </w:tcBorders>
            <w:noWrap/>
            <w:hideMark/>
          </w:tcPr>
          <w:p w:rsidR="008D6141" w:rsidRPr="008D6141" w:rsidRDefault="008D6141" w:rsidP="006D1A5D">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CORE Survey</w:t>
            </w:r>
          </w:p>
        </w:tc>
        <w:tc>
          <w:tcPr>
            <w:tcW w:w="884" w:type="pct"/>
            <w:tcBorders>
              <w:top w:val="none" w:sz="0" w:space="0" w:color="auto"/>
              <w:bottom w:val="none" w:sz="0" w:space="0" w:color="auto"/>
              <w:right w:val="none" w:sz="0" w:space="0" w:color="auto"/>
            </w:tcBorders>
            <w:noWrap/>
            <w:hideMark/>
          </w:tcPr>
          <w:p w:rsidR="008D6141" w:rsidRPr="008D6141" w:rsidRDefault="008D6141" w:rsidP="006D1A5D">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2011</w:t>
            </w:r>
          </w:p>
        </w:tc>
      </w:tr>
      <w:tr w:rsidR="008D6141"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8D6141" w:rsidRPr="008D6141" w:rsidRDefault="008D6141" w:rsidP="006D1A5D">
            <w:pPr>
              <w:rPr>
                <w:rFonts w:eastAsia="Times New Roman"/>
              </w:rPr>
            </w:pPr>
            <w:r w:rsidRPr="008D6141">
              <w:rPr>
                <w:rFonts w:eastAsia="Times New Roman"/>
              </w:rPr>
              <w:t>Higher Ed-Amphetamine Use-30-Day</w:t>
            </w:r>
          </w:p>
        </w:tc>
        <w:tc>
          <w:tcPr>
            <w:tcW w:w="1854" w:type="pct"/>
            <w:noWrap/>
            <w:hideMark/>
          </w:tcPr>
          <w:p w:rsidR="008D6141" w:rsidRPr="008D6141" w:rsidRDefault="008D6141" w:rsidP="006D1A5D">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CORE Survey</w:t>
            </w:r>
          </w:p>
        </w:tc>
        <w:tc>
          <w:tcPr>
            <w:tcW w:w="884" w:type="pct"/>
            <w:noWrap/>
            <w:hideMark/>
          </w:tcPr>
          <w:p w:rsidR="008D6141" w:rsidRPr="008D6141" w:rsidRDefault="008D6141" w:rsidP="006D1A5D">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2011</w:t>
            </w:r>
          </w:p>
        </w:tc>
      </w:tr>
      <w:tr w:rsidR="008D6141"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8D6141" w:rsidRPr="008D6141" w:rsidRDefault="008D6141" w:rsidP="006D1A5D">
            <w:pPr>
              <w:rPr>
                <w:rFonts w:eastAsia="Times New Roman"/>
              </w:rPr>
            </w:pPr>
            <w:r w:rsidRPr="008D6141">
              <w:rPr>
                <w:rFonts w:eastAsia="Times New Roman"/>
              </w:rPr>
              <w:t>Higher Ed-Argument Or Fight Due To Alcohol/Drugs</w:t>
            </w:r>
          </w:p>
        </w:tc>
        <w:tc>
          <w:tcPr>
            <w:tcW w:w="1854" w:type="pct"/>
            <w:tcBorders>
              <w:top w:val="none" w:sz="0" w:space="0" w:color="auto"/>
              <w:bottom w:val="none" w:sz="0" w:space="0" w:color="auto"/>
            </w:tcBorders>
            <w:noWrap/>
            <w:hideMark/>
          </w:tcPr>
          <w:p w:rsidR="008D6141" w:rsidRPr="008D6141" w:rsidRDefault="008D6141" w:rsidP="006D1A5D">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CORE Survey</w:t>
            </w:r>
          </w:p>
        </w:tc>
        <w:tc>
          <w:tcPr>
            <w:tcW w:w="884" w:type="pct"/>
            <w:tcBorders>
              <w:top w:val="none" w:sz="0" w:space="0" w:color="auto"/>
              <w:bottom w:val="none" w:sz="0" w:space="0" w:color="auto"/>
              <w:right w:val="none" w:sz="0" w:space="0" w:color="auto"/>
            </w:tcBorders>
            <w:noWrap/>
            <w:hideMark/>
          </w:tcPr>
          <w:p w:rsidR="008D6141" w:rsidRPr="008D6141" w:rsidRDefault="008D6141" w:rsidP="006D1A5D">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2011</w:t>
            </w:r>
          </w:p>
        </w:tc>
      </w:tr>
      <w:tr w:rsidR="008D6141"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8D6141" w:rsidRPr="008D6141" w:rsidRDefault="008D6141" w:rsidP="006D1A5D">
            <w:pPr>
              <w:rPr>
                <w:rFonts w:eastAsia="Times New Roman"/>
              </w:rPr>
            </w:pPr>
            <w:r w:rsidRPr="008D6141">
              <w:rPr>
                <w:rFonts w:eastAsia="Times New Roman"/>
              </w:rPr>
              <w:t>Higher Ed-Average Number Of Drinks Per Week</w:t>
            </w:r>
          </w:p>
        </w:tc>
        <w:tc>
          <w:tcPr>
            <w:tcW w:w="1854" w:type="pct"/>
            <w:noWrap/>
            <w:hideMark/>
          </w:tcPr>
          <w:p w:rsidR="008D6141" w:rsidRPr="008D6141" w:rsidRDefault="008D6141" w:rsidP="006D1A5D">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CORE Survey</w:t>
            </w:r>
          </w:p>
        </w:tc>
        <w:tc>
          <w:tcPr>
            <w:tcW w:w="884" w:type="pct"/>
            <w:noWrap/>
            <w:hideMark/>
          </w:tcPr>
          <w:p w:rsidR="008D6141" w:rsidRPr="008D6141" w:rsidRDefault="008D6141" w:rsidP="006D1A5D">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2011</w:t>
            </w:r>
          </w:p>
        </w:tc>
      </w:tr>
      <w:tr w:rsidR="008D6141"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8D6141" w:rsidRPr="008D6141" w:rsidRDefault="008D6141" w:rsidP="006D1A5D">
            <w:pPr>
              <w:rPr>
                <w:rFonts w:eastAsia="Times New Roman"/>
              </w:rPr>
            </w:pPr>
            <w:r w:rsidRPr="008D6141">
              <w:rPr>
                <w:rFonts w:eastAsia="Times New Roman"/>
              </w:rPr>
              <w:t>Higher Ed-Binge Drinking</w:t>
            </w:r>
          </w:p>
        </w:tc>
        <w:tc>
          <w:tcPr>
            <w:tcW w:w="1854" w:type="pct"/>
            <w:tcBorders>
              <w:top w:val="none" w:sz="0" w:space="0" w:color="auto"/>
              <w:bottom w:val="none" w:sz="0" w:space="0" w:color="auto"/>
            </w:tcBorders>
            <w:noWrap/>
            <w:hideMark/>
          </w:tcPr>
          <w:p w:rsidR="008D6141" w:rsidRPr="008D6141" w:rsidRDefault="008D6141" w:rsidP="006D1A5D">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CORE Survey</w:t>
            </w:r>
          </w:p>
        </w:tc>
        <w:tc>
          <w:tcPr>
            <w:tcW w:w="884" w:type="pct"/>
            <w:tcBorders>
              <w:top w:val="none" w:sz="0" w:space="0" w:color="auto"/>
              <w:bottom w:val="none" w:sz="0" w:space="0" w:color="auto"/>
              <w:right w:val="none" w:sz="0" w:space="0" w:color="auto"/>
            </w:tcBorders>
            <w:noWrap/>
            <w:hideMark/>
          </w:tcPr>
          <w:p w:rsidR="008D6141" w:rsidRPr="008D6141" w:rsidRDefault="008D6141" w:rsidP="006D1A5D">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2011</w:t>
            </w:r>
          </w:p>
        </w:tc>
      </w:tr>
      <w:tr w:rsidR="008D6141"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8D6141" w:rsidRPr="008D6141" w:rsidRDefault="008D6141" w:rsidP="006D1A5D">
            <w:pPr>
              <w:rPr>
                <w:rFonts w:eastAsia="Times New Roman"/>
              </w:rPr>
            </w:pPr>
            <w:r w:rsidRPr="008D6141">
              <w:rPr>
                <w:rFonts w:eastAsia="Times New Roman"/>
              </w:rPr>
              <w:t>Higher Ed-Campus Atmosphere Promotes Alcohol Use</w:t>
            </w:r>
          </w:p>
        </w:tc>
        <w:tc>
          <w:tcPr>
            <w:tcW w:w="1854" w:type="pct"/>
            <w:noWrap/>
            <w:hideMark/>
          </w:tcPr>
          <w:p w:rsidR="008D6141" w:rsidRPr="008D6141" w:rsidRDefault="008D6141" w:rsidP="006D1A5D">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CORE Survey</w:t>
            </w:r>
          </w:p>
        </w:tc>
        <w:tc>
          <w:tcPr>
            <w:tcW w:w="884" w:type="pct"/>
            <w:noWrap/>
            <w:hideMark/>
          </w:tcPr>
          <w:p w:rsidR="008D6141" w:rsidRPr="008D6141" w:rsidRDefault="008D6141" w:rsidP="006D1A5D">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2011</w:t>
            </w:r>
          </w:p>
        </w:tc>
      </w:tr>
      <w:tr w:rsidR="008D6141"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8D6141" w:rsidRPr="008D6141" w:rsidRDefault="008D6141" w:rsidP="006D1A5D">
            <w:pPr>
              <w:rPr>
                <w:rFonts w:eastAsia="Times New Roman"/>
              </w:rPr>
            </w:pPr>
            <w:r w:rsidRPr="008D6141">
              <w:rPr>
                <w:rFonts w:eastAsia="Times New Roman"/>
              </w:rPr>
              <w:t>Higher Ed-Campus Atmosphere Promotes Drug Use</w:t>
            </w:r>
          </w:p>
        </w:tc>
        <w:tc>
          <w:tcPr>
            <w:tcW w:w="1854" w:type="pct"/>
            <w:tcBorders>
              <w:top w:val="none" w:sz="0" w:space="0" w:color="auto"/>
              <w:bottom w:val="none" w:sz="0" w:space="0" w:color="auto"/>
            </w:tcBorders>
            <w:noWrap/>
            <w:hideMark/>
          </w:tcPr>
          <w:p w:rsidR="008D6141" w:rsidRPr="008D6141" w:rsidRDefault="008D6141" w:rsidP="006D1A5D">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CORE Survey</w:t>
            </w:r>
          </w:p>
        </w:tc>
        <w:tc>
          <w:tcPr>
            <w:tcW w:w="884" w:type="pct"/>
            <w:tcBorders>
              <w:top w:val="none" w:sz="0" w:space="0" w:color="auto"/>
              <w:bottom w:val="none" w:sz="0" w:space="0" w:color="auto"/>
              <w:right w:val="none" w:sz="0" w:space="0" w:color="auto"/>
            </w:tcBorders>
            <w:noWrap/>
            <w:hideMark/>
          </w:tcPr>
          <w:p w:rsidR="008D6141" w:rsidRPr="008D6141" w:rsidRDefault="008D6141" w:rsidP="006D1A5D">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2011</w:t>
            </w:r>
          </w:p>
        </w:tc>
      </w:tr>
      <w:tr w:rsidR="008D6141"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8D6141" w:rsidRPr="008D6141" w:rsidRDefault="008D6141" w:rsidP="006D1A5D">
            <w:pPr>
              <w:rPr>
                <w:rFonts w:eastAsia="Times New Roman"/>
              </w:rPr>
            </w:pPr>
            <w:r w:rsidRPr="008D6141">
              <w:rPr>
                <w:rFonts w:eastAsia="Times New Roman"/>
              </w:rPr>
              <w:t>Higher Ed-Cocaine Use-30-Day</w:t>
            </w:r>
          </w:p>
        </w:tc>
        <w:tc>
          <w:tcPr>
            <w:tcW w:w="1854" w:type="pct"/>
            <w:noWrap/>
            <w:hideMark/>
          </w:tcPr>
          <w:p w:rsidR="008D6141" w:rsidRPr="008D6141" w:rsidRDefault="008D6141" w:rsidP="006D1A5D">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CORE Survey</w:t>
            </w:r>
          </w:p>
        </w:tc>
        <w:tc>
          <w:tcPr>
            <w:tcW w:w="884" w:type="pct"/>
            <w:noWrap/>
            <w:hideMark/>
          </w:tcPr>
          <w:p w:rsidR="008D6141" w:rsidRPr="008D6141" w:rsidRDefault="008D6141" w:rsidP="006D1A5D">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2011</w:t>
            </w:r>
          </w:p>
        </w:tc>
      </w:tr>
      <w:tr w:rsidR="008D6141"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8D6141" w:rsidRPr="008D6141" w:rsidRDefault="008D6141" w:rsidP="006D1A5D">
            <w:pPr>
              <w:rPr>
                <w:rFonts w:eastAsia="Times New Roman"/>
              </w:rPr>
            </w:pPr>
            <w:r w:rsidRPr="008D6141">
              <w:rPr>
                <w:rFonts w:eastAsia="Times New Roman"/>
              </w:rPr>
              <w:t>Higher Ed-Damaged Property Due To Alcohol/Drugs</w:t>
            </w:r>
          </w:p>
        </w:tc>
        <w:tc>
          <w:tcPr>
            <w:tcW w:w="1854" w:type="pct"/>
            <w:tcBorders>
              <w:top w:val="none" w:sz="0" w:space="0" w:color="auto"/>
              <w:bottom w:val="none" w:sz="0" w:space="0" w:color="auto"/>
            </w:tcBorders>
            <w:noWrap/>
            <w:hideMark/>
          </w:tcPr>
          <w:p w:rsidR="008D6141" w:rsidRPr="008D6141" w:rsidRDefault="008D6141" w:rsidP="006D1A5D">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CORE Survey</w:t>
            </w:r>
          </w:p>
        </w:tc>
        <w:tc>
          <w:tcPr>
            <w:tcW w:w="884" w:type="pct"/>
            <w:tcBorders>
              <w:top w:val="none" w:sz="0" w:space="0" w:color="auto"/>
              <w:bottom w:val="none" w:sz="0" w:space="0" w:color="auto"/>
              <w:right w:val="none" w:sz="0" w:space="0" w:color="auto"/>
            </w:tcBorders>
            <w:noWrap/>
            <w:hideMark/>
          </w:tcPr>
          <w:p w:rsidR="008D6141" w:rsidRPr="008D6141" w:rsidRDefault="008D6141" w:rsidP="006D1A5D">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2011</w:t>
            </w:r>
          </w:p>
        </w:tc>
      </w:tr>
      <w:tr w:rsidR="008D6141"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8D6141" w:rsidRPr="008D6141" w:rsidRDefault="008D6141" w:rsidP="006D1A5D">
            <w:pPr>
              <w:rPr>
                <w:rFonts w:eastAsia="Times New Roman"/>
              </w:rPr>
            </w:pPr>
            <w:r w:rsidRPr="008D6141">
              <w:rPr>
                <w:rFonts w:eastAsia="Times New Roman"/>
              </w:rPr>
              <w:t>Higher Ed-Designer Drug Use-30-Day</w:t>
            </w:r>
          </w:p>
        </w:tc>
        <w:tc>
          <w:tcPr>
            <w:tcW w:w="1854" w:type="pct"/>
            <w:noWrap/>
            <w:hideMark/>
          </w:tcPr>
          <w:p w:rsidR="008D6141" w:rsidRPr="008D6141" w:rsidRDefault="008D6141" w:rsidP="006D1A5D">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CORE Survey</w:t>
            </w:r>
          </w:p>
        </w:tc>
        <w:tc>
          <w:tcPr>
            <w:tcW w:w="884" w:type="pct"/>
            <w:noWrap/>
            <w:hideMark/>
          </w:tcPr>
          <w:p w:rsidR="008D6141" w:rsidRPr="008D6141" w:rsidRDefault="008D6141" w:rsidP="006D1A5D">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2011</w:t>
            </w:r>
          </w:p>
        </w:tc>
      </w:tr>
      <w:tr w:rsidR="008D6141"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8D6141" w:rsidRPr="008D6141" w:rsidRDefault="008D6141" w:rsidP="006D1A5D">
            <w:pPr>
              <w:rPr>
                <w:rFonts w:eastAsia="Times New Roman"/>
              </w:rPr>
            </w:pPr>
            <w:r w:rsidRPr="008D6141">
              <w:rPr>
                <w:rFonts w:eastAsia="Times New Roman"/>
              </w:rPr>
              <w:t>Higher Ed-Did Something I Regret Due To Alcohol/Drug</w:t>
            </w:r>
          </w:p>
        </w:tc>
        <w:tc>
          <w:tcPr>
            <w:tcW w:w="1854" w:type="pct"/>
            <w:tcBorders>
              <w:top w:val="none" w:sz="0" w:space="0" w:color="auto"/>
              <w:bottom w:val="none" w:sz="0" w:space="0" w:color="auto"/>
            </w:tcBorders>
            <w:noWrap/>
            <w:hideMark/>
          </w:tcPr>
          <w:p w:rsidR="008D6141" w:rsidRPr="008D6141" w:rsidRDefault="008D6141" w:rsidP="006D1A5D">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CORE Survey</w:t>
            </w:r>
          </w:p>
        </w:tc>
        <w:tc>
          <w:tcPr>
            <w:tcW w:w="884" w:type="pct"/>
            <w:tcBorders>
              <w:top w:val="none" w:sz="0" w:space="0" w:color="auto"/>
              <w:bottom w:val="none" w:sz="0" w:space="0" w:color="auto"/>
              <w:right w:val="none" w:sz="0" w:space="0" w:color="auto"/>
            </w:tcBorders>
            <w:noWrap/>
            <w:hideMark/>
          </w:tcPr>
          <w:p w:rsidR="008D6141" w:rsidRPr="008D6141" w:rsidRDefault="008D6141" w:rsidP="006D1A5D">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2011</w:t>
            </w:r>
          </w:p>
        </w:tc>
      </w:tr>
      <w:tr w:rsidR="008D6141"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8D6141" w:rsidRPr="008D6141" w:rsidRDefault="008D6141" w:rsidP="006D1A5D">
            <w:pPr>
              <w:rPr>
                <w:rFonts w:eastAsia="Times New Roman"/>
              </w:rPr>
            </w:pPr>
            <w:r w:rsidRPr="008D6141">
              <w:rPr>
                <w:rFonts w:eastAsia="Times New Roman"/>
              </w:rPr>
              <w:t>Higher Ed-Don't Feel Safe On Campus</w:t>
            </w:r>
          </w:p>
        </w:tc>
        <w:tc>
          <w:tcPr>
            <w:tcW w:w="1854" w:type="pct"/>
            <w:noWrap/>
            <w:hideMark/>
          </w:tcPr>
          <w:p w:rsidR="008D6141" w:rsidRPr="008D6141" w:rsidRDefault="008D6141" w:rsidP="006D1A5D">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CORE Survey</w:t>
            </w:r>
          </w:p>
        </w:tc>
        <w:tc>
          <w:tcPr>
            <w:tcW w:w="884" w:type="pct"/>
            <w:noWrap/>
            <w:hideMark/>
          </w:tcPr>
          <w:p w:rsidR="008D6141" w:rsidRPr="008D6141" w:rsidRDefault="008D6141" w:rsidP="006D1A5D">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2011</w:t>
            </w:r>
          </w:p>
        </w:tc>
      </w:tr>
      <w:tr w:rsidR="008D6141"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8D6141" w:rsidRPr="008D6141" w:rsidRDefault="008D6141" w:rsidP="006D1A5D">
            <w:pPr>
              <w:rPr>
                <w:rFonts w:eastAsia="Times New Roman"/>
              </w:rPr>
            </w:pPr>
            <w:r w:rsidRPr="008D6141">
              <w:rPr>
                <w:rFonts w:eastAsia="Times New Roman"/>
              </w:rPr>
              <w:t>Higher Ed-Ethnic/Racial Harassment &amp; Substance Use</w:t>
            </w:r>
          </w:p>
        </w:tc>
        <w:tc>
          <w:tcPr>
            <w:tcW w:w="1854" w:type="pct"/>
            <w:tcBorders>
              <w:top w:val="none" w:sz="0" w:space="0" w:color="auto"/>
              <w:bottom w:val="none" w:sz="0" w:space="0" w:color="auto"/>
            </w:tcBorders>
            <w:noWrap/>
            <w:hideMark/>
          </w:tcPr>
          <w:p w:rsidR="008D6141" w:rsidRPr="008D6141" w:rsidRDefault="008D6141" w:rsidP="006D1A5D">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CORE Survey</w:t>
            </w:r>
          </w:p>
        </w:tc>
        <w:tc>
          <w:tcPr>
            <w:tcW w:w="884" w:type="pct"/>
            <w:tcBorders>
              <w:top w:val="none" w:sz="0" w:space="0" w:color="auto"/>
              <w:bottom w:val="none" w:sz="0" w:space="0" w:color="auto"/>
              <w:right w:val="none" w:sz="0" w:space="0" w:color="auto"/>
            </w:tcBorders>
            <w:noWrap/>
            <w:hideMark/>
          </w:tcPr>
          <w:p w:rsidR="008D6141" w:rsidRPr="008D6141" w:rsidRDefault="008D6141" w:rsidP="006D1A5D">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2011</w:t>
            </w:r>
          </w:p>
        </w:tc>
      </w:tr>
      <w:tr w:rsidR="008D6141"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8D6141" w:rsidRPr="008D6141" w:rsidRDefault="008D6141" w:rsidP="006D1A5D">
            <w:pPr>
              <w:rPr>
                <w:rFonts w:eastAsia="Times New Roman"/>
              </w:rPr>
            </w:pPr>
            <w:r w:rsidRPr="008D6141">
              <w:rPr>
                <w:rFonts w:eastAsia="Times New Roman"/>
              </w:rPr>
              <w:t>Higher Ed-Failed Test Or Project Due To Alcohol/Drugs</w:t>
            </w:r>
          </w:p>
        </w:tc>
        <w:tc>
          <w:tcPr>
            <w:tcW w:w="1854" w:type="pct"/>
            <w:noWrap/>
            <w:hideMark/>
          </w:tcPr>
          <w:p w:rsidR="008D6141" w:rsidRPr="008D6141" w:rsidRDefault="008D6141" w:rsidP="006D1A5D">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CORE Survey</w:t>
            </w:r>
          </w:p>
        </w:tc>
        <w:tc>
          <w:tcPr>
            <w:tcW w:w="884" w:type="pct"/>
            <w:noWrap/>
            <w:hideMark/>
          </w:tcPr>
          <w:p w:rsidR="008D6141" w:rsidRPr="008D6141" w:rsidRDefault="008D6141" w:rsidP="006D1A5D">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2011</w:t>
            </w:r>
          </w:p>
        </w:tc>
      </w:tr>
      <w:tr w:rsidR="008D6141"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8D6141" w:rsidRPr="008D6141" w:rsidRDefault="008D6141" w:rsidP="006D1A5D">
            <w:pPr>
              <w:rPr>
                <w:rFonts w:eastAsia="Times New Roman"/>
              </w:rPr>
            </w:pPr>
            <w:r w:rsidRPr="008D6141">
              <w:rPr>
                <w:rFonts w:eastAsia="Times New Roman"/>
              </w:rPr>
              <w:t>Higher Ed-Hallucinogen Use-30-Day</w:t>
            </w:r>
          </w:p>
        </w:tc>
        <w:tc>
          <w:tcPr>
            <w:tcW w:w="1854" w:type="pct"/>
            <w:tcBorders>
              <w:top w:val="none" w:sz="0" w:space="0" w:color="auto"/>
              <w:bottom w:val="none" w:sz="0" w:space="0" w:color="auto"/>
            </w:tcBorders>
            <w:noWrap/>
            <w:hideMark/>
          </w:tcPr>
          <w:p w:rsidR="008D6141" w:rsidRPr="008D6141" w:rsidRDefault="008D6141" w:rsidP="006D1A5D">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CORE Survey</w:t>
            </w:r>
          </w:p>
        </w:tc>
        <w:tc>
          <w:tcPr>
            <w:tcW w:w="884" w:type="pct"/>
            <w:tcBorders>
              <w:top w:val="none" w:sz="0" w:space="0" w:color="auto"/>
              <w:bottom w:val="none" w:sz="0" w:space="0" w:color="auto"/>
              <w:right w:val="none" w:sz="0" w:space="0" w:color="auto"/>
            </w:tcBorders>
            <w:noWrap/>
            <w:hideMark/>
          </w:tcPr>
          <w:p w:rsidR="008D6141" w:rsidRPr="008D6141" w:rsidRDefault="008D6141" w:rsidP="006D1A5D">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2011</w:t>
            </w:r>
          </w:p>
        </w:tc>
      </w:tr>
      <w:tr w:rsidR="008D6141"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8D6141" w:rsidRPr="008D6141" w:rsidRDefault="008D6141" w:rsidP="006D1A5D">
            <w:pPr>
              <w:rPr>
                <w:rFonts w:eastAsia="Times New Roman"/>
              </w:rPr>
            </w:pPr>
            <w:r w:rsidRPr="008D6141">
              <w:rPr>
                <w:rFonts w:eastAsia="Times New Roman"/>
              </w:rPr>
              <w:t>Higher Ed-Hangover Due To Alcohol/Drugs</w:t>
            </w:r>
          </w:p>
        </w:tc>
        <w:tc>
          <w:tcPr>
            <w:tcW w:w="1854" w:type="pct"/>
            <w:noWrap/>
            <w:hideMark/>
          </w:tcPr>
          <w:p w:rsidR="008D6141" w:rsidRPr="008D6141" w:rsidRDefault="008D6141" w:rsidP="006D1A5D">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CORE Survey</w:t>
            </w:r>
          </w:p>
        </w:tc>
        <w:tc>
          <w:tcPr>
            <w:tcW w:w="884" w:type="pct"/>
            <w:noWrap/>
            <w:hideMark/>
          </w:tcPr>
          <w:p w:rsidR="008D6141" w:rsidRPr="008D6141" w:rsidRDefault="008D6141" w:rsidP="006D1A5D">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2011</w:t>
            </w:r>
          </w:p>
        </w:tc>
      </w:tr>
      <w:tr w:rsidR="008D6141"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8D6141" w:rsidRPr="008D6141" w:rsidRDefault="008D6141" w:rsidP="006D1A5D">
            <w:pPr>
              <w:rPr>
                <w:rFonts w:eastAsia="Times New Roman"/>
              </w:rPr>
            </w:pPr>
            <w:r w:rsidRPr="008D6141">
              <w:rPr>
                <w:rFonts w:eastAsia="Times New Roman"/>
              </w:rPr>
              <w:t>Higher Ed-Heavy Tobacco Use</w:t>
            </w:r>
          </w:p>
        </w:tc>
        <w:tc>
          <w:tcPr>
            <w:tcW w:w="1854" w:type="pct"/>
            <w:tcBorders>
              <w:top w:val="none" w:sz="0" w:space="0" w:color="auto"/>
              <w:bottom w:val="none" w:sz="0" w:space="0" w:color="auto"/>
            </w:tcBorders>
            <w:noWrap/>
            <w:hideMark/>
          </w:tcPr>
          <w:p w:rsidR="008D6141" w:rsidRPr="008D6141" w:rsidRDefault="008D6141" w:rsidP="006D1A5D">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CORE Survey</w:t>
            </w:r>
          </w:p>
        </w:tc>
        <w:tc>
          <w:tcPr>
            <w:tcW w:w="884" w:type="pct"/>
            <w:tcBorders>
              <w:top w:val="none" w:sz="0" w:space="0" w:color="auto"/>
              <w:bottom w:val="none" w:sz="0" w:space="0" w:color="auto"/>
              <w:right w:val="none" w:sz="0" w:space="0" w:color="auto"/>
            </w:tcBorders>
            <w:noWrap/>
            <w:hideMark/>
          </w:tcPr>
          <w:p w:rsidR="008D6141" w:rsidRPr="008D6141" w:rsidRDefault="008D6141" w:rsidP="006D1A5D">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2011</w:t>
            </w:r>
          </w:p>
        </w:tc>
      </w:tr>
      <w:tr w:rsidR="008D6141"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8D6141" w:rsidRPr="008D6141" w:rsidRDefault="008D6141" w:rsidP="006D1A5D">
            <w:pPr>
              <w:rPr>
                <w:rFonts w:eastAsia="Times New Roman"/>
              </w:rPr>
            </w:pPr>
            <w:r w:rsidRPr="008D6141">
              <w:rPr>
                <w:rFonts w:eastAsia="Times New Roman"/>
              </w:rPr>
              <w:lastRenderedPageBreak/>
              <w:t>Higher Ed-Hurt Or Injured Due To Alcohol/Drugs</w:t>
            </w:r>
          </w:p>
        </w:tc>
        <w:tc>
          <w:tcPr>
            <w:tcW w:w="1854" w:type="pct"/>
            <w:noWrap/>
            <w:hideMark/>
          </w:tcPr>
          <w:p w:rsidR="008D6141" w:rsidRPr="008D6141" w:rsidRDefault="008D6141" w:rsidP="006D1A5D">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CORE Survey</w:t>
            </w:r>
          </w:p>
        </w:tc>
        <w:tc>
          <w:tcPr>
            <w:tcW w:w="884" w:type="pct"/>
            <w:noWrap/>
            <w:hideMark/>
          </w:tcPr>
          <w:p w:rsidR="008D6141" w:rsidRPr="008D6141" w:rsidRDefault="008D6141" w:rsidP="006D1A5D">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2011</w:t>
            </w:r>
          </w:p>
        </w:tc>
      </w:tr>
      <w:tr w:rsidR="008D6141"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8D6141" w:rsidRPr="008D6141" w:rsidRDefault="008D6141" w:rsidP="006D1A5D">
            <w:pPr>
              <w:rPr>
                <w:rFonts w:eastAsia="Times New Roman"/>
              </w:rPr>
            </w:pPr>
            <w:r w:rsidRPr="008D6141">
              <w:rPr>
                <w:rFonts w:eastAsia="Times New Roman"/>
              </w:rPr>
              <w:t>Higher Ed-Inhalant Use-30-Day</w:t>
            </w:r>
          </w:p>
        </w:tc>
        <w:tc>
          <w:tcPr>
            <w:tcW w:w="1854" w:type="pct"/>
            <w:tcBorders>
              <w:top w:val="none" w:sz="0" w:space="0" w:color="auto"/>
              <w:bottom w:val="none" w:sz="0" w:space="0" w:color="auto"/>
            </w:tcBorders>
            <w:noWrap/>
            <w:hideMark/>
          </w:tcPr>
          <w:p w:rsidR="008D6141" w:rsidRPr="008D6141" w:rsidRDefault="008D6141" w:rsidP="006D1A5D">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CORE Survey</w:t>
            </w:r>
          </w:p>
        </w:tc>
        <w:tc>
          <w:tcPr>
            <w:tcW w:w="884" w:type="pct"/>
            <w:tcBorders>
              <w:top w:val="none" w:sz="0" w:space="0" w:color="auto"/>
              <w:bottom w:val="none" w:sz="0" w:space="0" w:color="auto"/>
              <w:right w:val="none" w:sz="0" w:space="0" w:color="auto"/>
            </w:tcBorders>
            <w:noWrap/>
            <w:hideMark/>
          </w:tcPr>
          <w:p w:rsidR="008D6141" w:rsidRPr="008D6141" w:rsidRDefault="008D6141" w:rsidP="006D1A5D">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2011</w:t>
            </w:r>
          </w:p>
        </w:tc>
      </w:tr>
      <w:tr w:rsidR="008D6141"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8D6141" w:rsidRPr="008D6141" w:rsidRDefault="008D6141" w:rsidP="006D1A5D">
            <w:pPr>
              <w:rPr>
                <w:rFonts w:eastAsia="Times New Roman"/>
              </w:rPr>
            </w:pPr>
            <w:r w:rsidRPr="008D6141">
              <w:rPr>
                <w:rFonts w:eastAsia="Times New Roman"/>
              </w:rPr>
              <w:t>Higher Ed-Marijuana Use-30-Day</w:t>
            </w:r>
          </w:p>
        </w:tc>
        <w:tc>
          <w:tcPr>
            <w:tcW w:w="1854" w:type="pct"/>
            <w:noWrap/>
            <w:hideMark/>
          </w:tcPr>
          <w:p w:rsidR="008D6141" w:rsidRPr="008D6141" w:rsidRDefault="008D6141" w:rsidP="006D1A5D">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CORE Survey</w:t>
            </w:r>
          </w:p>
        </w:tc>
        <w:tc>
          <w:tcPr>
            <w:tcW w:w="884" w:type="pct"/>
            <w:noWrap/>
            <w:hideMark/>
          </w:tcPr>
          <w:p w:rsidR="008D6141" w:rsidRPr="008D6141" w:rsidRDefault="008D6141" w:rsidP="006D1A5D">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2011</w:t>
            </w:r>
          </w:p>
        </w:tc>
      </w:tr>
      <w:tr w:rsidR="008D6141"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8D6141" w:rsidRPr="008D6141" w:rsidRDefault="008D6141" w:rsidP="006D1A5D">
            <w:pPr>
              <w:rPr>
                <w:rFonts w:eastAsia="Times New Roman"/>
              </w:rPr>
            </w:pPr>
            <w:r w:rsidRPr="008D6141">
              <w:rPr>
                <w:rFonts w:eastAsia="Times New Roman"/>
              </w:rPr>
              <w:t>Higher Ed-Memory Loss Due To Alcohol/Drugs</w:t>
            </w:r>
          </w:p>
        </w:tc>
        <w:tc>
          <w:tcPr>
            <w:tcW w:w="1854" w:type="pct"/>
            <w:tcBorders>
              <w:top w:val="none" w:sz="0" w:space="0" w:color="auto"/>
              <w:bottom w:val="none" w:sz="0" w:space="0" w:color="auto"/>
            </w:tcBorders>
            <w:noWrap/>
            <w:hideMark/>
          </w:tcPr>
          <w:p w:rsidR="008D6141" w:rsidRPr="008D6141" w:rsidRDefault="008D6141" w:rsidP="006D1A5D">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CORE Survey</w:t>
            </w:r>
          </w:p>
        </w:tc>
        <w:tc>
          <w:tcPr>
            <w:tcW w:w="884" w:type="pct"/>
            <w:tcBorders>
              <w:top w:val="none" w:sz="0" w:space="0" w:color="auto"/>
              <w:bottom w:val="none" w:sz="0" w:space="0" w:color="auto"/>
              <w:right w:val="none" w:sz="0" w:space="0" w:color="auto"/>
            </w:tcBorders>
            <w:noWrap/>
            <w:hideMark/>
          </w:tcPr>
          <w:p w:rsidR="008D6141" w:rsidRPr="008D6141" w:rsidRDefault="008D6141" w:rsidP="006D1A5D">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2011</w:t>
            </w:r>
          </w:p>
        </w:tc>
      </w:tr>
      <w:tr w:rsidR="008D6141"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8D6141" w:rsidRPr="008D6141" w:rsidRDefault="008D6141" w:rsidP="006D1A5D">
            <w:pPr>
              <w:rPr>
                <w:rFonts w:eastAsia="Times New Roman"/>
              </w:rPr>
            </w:pPr>
            <w:r w:rsidRPr="008D6141">
              <w:rPr>
                <w:rFonts w:eastAsia="Times New Roman"/>
              </w:rPr>
              <w:t>Higher Ed-Might Have Drinking/Drug Problem</w:t>
            </w:r>
          </w:p>
        </w:tc>
        <w:tc>
          <w:tcPr>
            <w:tcW w:w="1854" w:type="pct"/>
            <w:noWrap/>
            <w:hideMark/>
          </w:tcPr>
          <w:p w:rsidR="008D6141" w:rsidRPr="008D6141" w:rsidRDefault="008D6141" w:rsidP="006D1A5D">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CORE Survey</w:t>
            </w:r>
          </w:p>
        </w:tc>
        <w:tc>
          <w:tcPr>
            <w:tcW w:w="884" w:type="pct"/>
            <w:noWrap/>
            <w:hideMark/>
          </w:tcPr>
          <w:p w:rsidR="008D6141" w:rsidRPr="008D6141" w:rsidRDefault="008D6141" w:rsidP="006D1A5D">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2011</w:t>
            </w:r>
          </w:p>
        </w:tc>
      </w:tr>
      <w:tr w:rsidR="008D6141"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8D6141" w:rsidRPr="008D6141" w:rsidRDefault="008D6141" w:rsidP="006D1A5D">
            <w:pPr>
              <w:rPr>
                <w:rFonts w:eastAsia="Times New Roman"/>
              </w:rPr>
            </w:pPr>
            <w:r w:rsidRPr="008D6141">
              <w:rPr>
                <w:rFonts w:eastAsia="Times New Roman"/>
              </w:rPr>
              <w:t>Higher Ed-Missed A Class Due To Alcohol/Drugs</w:t>
            </w:r>
          </w:p>
        </w:tc>
        <w:tc>
          <w:tcPr>
            <w:tcW w:w="1854" w:type="pct"/>
            <w:tcBorders>
              <w:top w:val="none" w:sz="0" w:space="0" w:color="auto"/>
              <w:bottom w:val="none" w:sz="0" w:space="0" w:color="auto"/>
            </w:tcBorders>
            <w:noWrap/>
            <w:hideMark/>
          </w:tcPr>
          <w:p w:rsidR="008D6141" w:rsidRPr="008D6141" w:rsidRDefault="008D6141" w:rsidP="006D1A5D">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CORE Survey</w:t>
            </w:r>
          </w:p>
        </w:tc>
        <w:tc>
          <w:tcPr>
            <w:tcW w:w="884" w:type="pct"/>
            <w:tcBorders>
              <w:top w:val="none" w:sz="0" w:space="0" w:color="auto"/>
              <w:bottom w:val="none" w:sz="0" w:space="0" w:color="auto"/>
              <w:right w:val="none" w:sz="0" w:space="0" w:color="auto"/>
            </w:tcBorders>
            <w:noWrap/>
            <w:hideMark/>
          </w:tcPr>
          <w:p w:rsidR="008D6141" w:rsidRPr="008D6141" w:rsidRDefault="008D6141" w:rsidP="006D1A5D">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2011</w:t>
            </w:r>
          </w:p>
        </w:tc>
      </w:tr>
      <w:tr w:rsidR="008D6141"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8D6141" w:rsidRPr="008D6141" w:rsidRDefault="008D6141" w:rsidP="006D1A5D">
            <w:pPr>
              <w:rPr>
                <w:rFonts w:eastAsia="Times New Roman"/>
              </w:rPr>
            </w:pPr>
            <w:r w:rsidRPr="008D6141">
              <w:rPr>
                <w:rFonts w:eastAsia="Times New Roman"/>
              </w:rPr>
              <w:t>Higher Ed-Nausea Or Vomiting Due To Alcohol/Drugs</w:t>
            </w:r>
          </w:p>
        </w:tc>
        <w:tc>
          <w:tcPr>
            <w:tcW w:w="1854" w:type="pct"/>
            <w:noWrap/>
            <w:hideMark/>
          </w:tcPr>
          <w:p w:rsidR="008D6141" w:rsidRPr="008D6141" w:rsidRDefault="008D6141" w:rsidP="006D1A5D">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CORE Survey</w:t>
            </w:r>
          </w:p>
        </w:tc>
        <w:tc>
          <w:tcPr>
            <w:tcW w:w="884" w:type="pct"/>
            <w:noWrap/>
            <w:hideMark/>
          </w:tcPr>
          <w:p w:rsidR="008D6141" w:rsidRPr="008D6141" w:rsidRDefault="008D6141" w:rsidP="006D1A5D">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2011</w:t>
            </w:r>
          </w:p>
        </w:tc>
      </w:tr>
      <w:tr w:rsidR="008D6141"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8D6141" w:rsidRPr="008D6141" w:rsidRDefault="008D6141" w:rsidP="006D1A5D">
            <w:pPr>
              <w:rPr>
                <w:rFonts w:eastAsia="Times New Roman"/>
              </w:rPr>
            </w:pPr>
            <w:r w:rsidRPr="008D6141">
              <w:rPr>
                <w:rFonts w:eastAsia="Times New Roman"/>
              </w:rPr>
              <w:t>Higher Ed-Opiate Use-30-Day</w:t>
            </w:r>
          </w:p>
        </w:tc>
        <w:tc>
          <w:tcPr>
            <w:tcW w:w="1854" w:type="pct"/>
            <w:tcBorders>
              <w:top w:val="none" w:sz="0" w:space="0" w:color="auto"/>
              <w:bottom w:val="none" w:sz="0" w:space="0" w:color="auto"/>
            </w:tcBorders>
            <w:noWrap/>
            <w:hideMark/>
          </w:tcPr>
          <w:p w:rsidR="008D6141" w:rsidRPr="008D6141" w:rsidRDefault="008D6141" w:rsidP="006D1A5D">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CORE Survey</w:t>
            </w:r>
          </w:p>
        </w:tc>
        <w:tc>
          <w:tcPr>
            <w:tcW w:w="884" w:type="pct"/>
            <w:tcBorders>
              <w:top w:val="none" w:sz="0" w:space="0" w:color="auto"/>
              <w:bottom w:val="none" w:sz="0" w:space="0" w:color="auto"/>
              <w:right w:val="none" w:sz="0" w:space="0" w:color="auto"/>
            </w:tcBorders>
            <w:noWrap/>
            <w:hideMark/>
          </w:tcPr>
          <w:p w:rsidR="008D6141" w:rsidRPr="008D6141" w:rsidRDefault="008D6141" w:rsidP="006D1A5D">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2011</w:t>
            </w:r>
          </w:p>
        </w:tc>
      </w:tr>
      <w:tr w:rsidR="008D6141"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8D6141" w:rsidRPr="008D6141" w:rsidRDefault="008D6141" w:rsidP="006D1A5D">
            <w:pPr>
              <w:rPr>
                <w:rFonts w:eastAsia="Times New Roman"/>
              </w:rPr>
            </w:pPr>
            <w:r w:rsidRPr="008D6141">
              <w:rPr>
                <w:rFonts w:eastAsia="Times New Roman"/>
              </w:rPr>
              <w:t>Higher Ed-Other Illegal Drug Use-30-Day</w:t>
            </w:r>
          </w:p>
        </w:tc>
        <w:tc>
          <w:tcPr>
            <w:tcW w:w="1854" w:type="pct"/>
            <w:noWrap/>
            <w:hideMark/>
          </w:tcPr>
          <w:p w:rsidR="008D6141" w:rsidRPr="008D6141" w:rsidRDefault="008D6141" w:rsidP="006D1A5D">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CORE Survey</w:t>
            </w:r>
          </w:p>
        </w:tc>
        <w:tc>
          <w:tcPr>
            <w:tcW w:w="884" w:type="pct"/>
            <w:noWrap/>
            <w:hideMark/>
          </w:tcPr>
          <w:p w:rsidR="008D6141" w:rsidRPr="008D6141" w:rsidRDefault="008D6141" w:rsidP="006D1A5D">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2011</w:t>
            </w:r>
          </w:p>
        </w:tc>
      </w:tr>
      <w:tr w:rsidR="008D6141"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8D6141" w:rsidRPr="008D6141" w:rsidRDefault="008D6141" w:rsidP="006D1A5D">
            <w:pPr>
              <w:rPr>
                <w:rFonts w:eastAsia="Times New Roman"/>
              </w:rPr>
            </w:pPr>
            <w:r w:rsidRPr="008D6141">
              <w:rPr>
                <w:rFonts w:eastAsia="Times New Roman"/>
              </w:rPr>
              <w:t>Higher Ed-Sedative Use-30-Day</w:t>
            </w:r>
          </w:p>
        </w:tc>
        <w:tc>
          <w:tcPr>
            <w:tcW w:w="1854" w:type="pct"/>
            <w:tcBorders>
              <w:top w:val="none" w:sz="0" w:space="0" w:color="auto"/>
              <w:bottom w:val="none" w:sz="0" w:space="0" w:color="auto"/>
            </w:tcBorders>
            <w:noWrap/>
            <w:hideMark/>
          </w:tcPr>
          <w:p w:rsidR="008D6141" w:rsidRPr="008D6141" w:rsidRDefault="008D6141" w:rsidP="006D1A5D">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CORE Survey</w:t>
            </w:r>
          </w:p>
        </w:tc>
        <w:tc>
          <w:tcPr>
            <w:tcW w:w="884" w:type="pct"/>
            <w:tcBorders>
              <w:top w:val="none" w:sz="0" w:space="0" w:color="auto"/>
              <w:bottom w:val="none" w:sz="0" w:space="0" w:color="auto"/>
              <w:right w:val="none" w:sz="0" w:space="0" w:color="auto"/>
            </w:tcBorders>
            <w:noWrap/>
            <w:hideMark/>
          </w:tcPr>
          <w:p w:rsidR="008D6141" w:rsidRPr="008D6141" w:rsidRDefault="008D6141" w:rsidP="006D1A5D">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2011</w:t>
            </w:r>
          </w:p>
        </w:tc>
      </w:tr>
      <w:tr w:rsidR="008D6141"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8D6141" w:rsidRPr="008D6141" w:rsidRDefault="008D6141" w:rsidP="006D1A5D">
            <w:pPr>
              <w:rPr>
                <w:rFonts w:eastAsia="Times New Roman"/>
              </w:rPr>
            </w:pPr>
            <w:r w:rsidRPr="008D6141">
              <w:rPr>
                <w:rFonts w:eastAsia="Times New Roman"/>
              </w:rPr>
              <w:t>Higher Ed-Steroid Use-30-Day</w:t>
            </w:r>
          </w:p>
        </w:tc>
        <w:tc>
          <w:tcPr>
            <w:tcW w:w="1854" w:type="pct"/>
            <w:noWrap/>
            <w:hideMark/>
          </w:tcPr>
          <w:p w:rsidR="008D6141" w:rsidRPr="008D6141" w:rsidRDefault="008D6141" w:rsidP="006D1A5D">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CORE Survey</w:t>
            </w:r>
          </w:p>
        </w:tc>
        <w:tc>
          <w:tcPr>
            <w:tcW w:w="884" w:type="pct"/>
            <w:noWrap/>
            <w:hideMark/>
          </w:tcPr>
          <w:p w:rsidR="008D6141" w:rsidRPr="008D6141" w:rsidRDefault="008D6141" w:rsidP="006D1A5D">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2011</w:t>
            </w:r>
          </w:p>
        </w:tc>
      </w:tr>
      <w:tr w:rsidR="008D6141"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8D6141" w:rsidRPr="008D6141" w:rsidRDefault="008D6141" w:rsidP="006D1A5D">
            <w:pPr>
              <w:rPr>
                <w:rFonts w:eastAsia="Times New Roman"/>
              </w:rPr>
            </w:pPr>
            <w:r w:rsidRPr="008D6141">
              <w:rPr>
                <w:rFonts w:eastAsia="Times New Roman"/>
              </w:rPr>
              <w:t>Higher Ed-Suicide Attempt Due To Alcohol/Drugs</w:t>
            </w:r>
          </w:p>
        </w:tc>
        <w:tc>
          <w:tcPr>
            <w:tcW w:w="1854" w:type="pct"/>
            <w:tcBorders>
              <w:top w:val="none" w:sz="0" w:space="0" w:color="auto"/>
              <w:bottom w:val="none" w:sz="0" w:space="0" w:color="auto"/>
            </w:tcBorders>
            <w:noWrap/>
            <w:hideMark/>
          </w:tcPr>
          <w:p w:rsidR="008D6141" w:rsidRPr="008D6141" w:rsidRDefault="008D6141" w:rsidP="006D1A5D">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CORE Survey</w:t>
            </w:r>
          </w:p>
        </w:tc>
        <w:tc>
          <w:tcPr>
            <w:tcW w:w="884" w:type="pct"/>
            <w:tcBorders>
              <w:top w:val="none" w:sz="0" w:space="0" w:color="auto"/>
              <w:bottom w:val="none" w:sz="0" w:space="0" w:color="auto"/>
              <w:right w:val="none" w:sz="0" w:space="0" w:color="auto"/>
            </w:tcBorders>
            <w:noWrap/>
            <w:hideMark/>
          </w:tcPr>
          <w:p w:rsidR="008D6141" w:rsidRPr="008D6141" w:rsidRDefault="008D6141" w:rsidP="006D1A5D">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2011</w:t>
            </w:r>
          </w:p>
        </w:tc>
      </w:tr>
      <w:tr w:rsidR="008D6141"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8D6141" w:rsidRPr="008D6141" w:rsidRDefault="008D6141" w:rsidP="006D1A5D">
            <w:pPr>
              <w:rPr>
                <w:rFonts w:eastAsia="Times New Roman"/>
              </w:rPr>
            </w:pPr>
            <w:r w:rsidRPr="008D6141">
              <w:rPr>
                <w:rFonts w:eastAsia="Times New Roman"/>
              </w:rPr>
              <w:t>Higher Ed-Theft Due To Force And Substance Use</w:t>
            </w:r>
          </w:p>
        </w:tc>
        <w:tc>
          <w:tcPr>
            <w:tcW w:w="1854" w:type="pct"/>
            <w:noWrap/>
            <w:hideMark/>
          </w:tcPr>
          <w:p w:rsidR="008D6141" w:rsidRPr="008D6141" w:rsidRDefault="008D6141" w:rsidP="006D1A5D">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CORE Survey</w:t>
            </w:r>
          </w:p>
        </w:tc>
        <w:tc>
          <w:tcPr>
            <w:tcW w:w="884" w:type="pct"/>
            <w:noWrap/>
            <w:hideMark/>
          </w:tcPr>
          <w:p w:rsidR="008D6141" w:rsidRPr="008D6141" w:rsidRDefault="008D6141" w:rsidP="006D1A5D">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2011</w:t>
            </w:r>
          </w:p>
        </w:tc>
      </w:tr>
      <w:tr w:rsidR="008D6141"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8D6141" w:rsidRPr="008D6141" w:rsidRDefault="008D6141" w:rsidP="006D1A5D">
            <w:pPr>
              <w:rPr>
                <w:rFonts w:eastAsia="Times New Roman"/>
              </w:rPr>
            </w:pPr>
            <w:r w:rsidRPr="008D6141">
              <w:rPr>
                <w:rFonts w:eastAsia="Times New Roman"/>
              </w:rPr>
              <w:t>Higher Ed-Thought About Suicide Due To Alcohol/Drugs</w:t>
            </w:r>
          </w:p>
        </w:tc>
        <w:tc>
          <w:tcPr>
            <w:tcW w:w="1854" w:type="pct"/>
            <w:tcBorders>
              <w:top w:val="none" w:sz="0" w:space="0" w:color="auto"/>
              <w:bottom w:val="none" w:sz="0" w:space="0" w:color="auto"/>
            </w:tcBorders>
            <w:noWrap/>
            <w:hideMark/>
          </w:tcPr>
          <w:p w:rsidR="008D6141" w:rsidRPr="008D6141" w:rsidRDefault="008D6141" w:rsidP="006D1A5D">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CORE Survey</w:t>
            </w:r>
          </w:p>
        </w:tc>
        <w:tc>
          <w:tcPr>
            <w:tcW w:w="884" w:type="pct"/>
            <w:tcBorders>
              <w:top w:val="none" w:sz="0" w:space="0" w:color="auto"/>
              <w:bottom w:val="none" w:sz="0" w:space="0" w:color="auto"/>
              <w:right w:val="none" w:sz="0" w:space="0" w:color="auto"/>
            </w:tcBorders>
            <w:noWrap/>
            <w:hideMark/>
          </w:tcPr>
          <w:p w:rsidR="008D6141" w:rsidRPr="008D6141" w:rsidRDefault="008D6141" w:rsidP="006D1A5D">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2011</w:t>
            </w:r>
          </w:p>
        </w:tc>
      </w:tr>
      <w:tr w:rsidR="008D6141"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8D6141" w:rsidRPr="008D6141" w:rsidRDefault="008D6141" w:rsidP="006D1A5D">
            <w:pPr>
              <w:rPr>
                <w:rFonts w:eastAsia="Times New Roman"/>
              </w:rPr>
            </w:pPr>
            <w:r w:rsidRPr="008D6141">
              <w:rPr>
                <w:rFonts w:eastAsia="Times New Roman"/>
              </w:rPr>
              <w:t>Higher Ed-Threats Of Physical Violence And Substance Use</w:t>
            </w:r>
          </w:p>
        </w:tc>
        <w:tc>
          <w:tcPr>
            <w:tcW w:w="1854" w:type="pct"/>
            <w:noWrap/>
            <w:hideMark/>
          </w:tcPr>
          <w:p w:rsidR="008D6141" w:rsidRPr="008D6141" w:rsidRDefault="008D6141" w:rsidP="006D1A5D">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CORE Survey</w:t>
            </w:r>
          </w:p>
        </w:tc>
        <w:tc>
          <w:tcPr>
            <w:tcW w:w="884" w:type="pct"/>
            <w:noWrap/>
            <w:hideMark/>
          </w:tcPr>
          <w:p w:rsidR="008D6141" w:rsidRPr="008D6141" w:rsidRDefault="008D6141" w:rsidP="006D1A5D">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2011</w:t>
            </w:r>
          </w:p>
        </w:tc>
      </w:tr>
      <w:tr w:rsidR="008D6141"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8D6141" w:rsidRPr="008D6141" w:rsidRDefault="008D6141" w:rsidP="006D1A5D">
            <w:pPr>
              <w:rPr>
                <w:rFonts w:eastAsia="Times New Roman"/>
              </w:rPr>
            </w:pPr>
            <w:r w:rsidRPr="008D6141">
              <w:rPr>
                <w:rFonts w:eastAsia="Times New Roman"/>
              </w:rPr>
              <w:t>Higher Ed-Tobacco Use-30-Day</w:t>
            </w:r>
          </w:p>
        </w:tc>
        <w:tc>
          <w:tcPr>
            <w:tcW w:w="1854" w:type="pct"/>
            <w:tcBorders>
              <w:top w:val="none" w:sz="0" w:space="0" w:color="auto"/>
              <w:bottom w:val="none" w:sz="0" w:space="0" w:color="auto"/>
            </w:tcBorders>
            <w:noWrap/>
            <w:hideMark/>
          </w:tcPr>
          <w:p w:rsidR="008D6141" w:rsidRPr="008D6141" w:rsidRDefault="008D6141" w:rsidP="006D1A5D">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CORE Survey</w:t>
            </w:r>
          </w:p>
        </w:tc>
        <w:tc>
          <w:tcPr>
            <w:tcW w:w="884" w:type="pct"/>
            <w:tcBorders>
              <w:top w:val="none" w:sz="0" w:space="0" w:color="auto"/>
              <w:bottom w:val="none" w:sz="0" w:space="0" w:color="auto"/>
              <w:right w:val="none" w:sz="0" w:space="0" w:color="auto"/>
            </w:tcBorders>
            <w:noWrap/>
            <w:hideMark/>
          </w:tcPr>
          <w:p w:rsidR="008D6141" w:rsidRPr="008D6141" w:rsidRDefault="008D6141" w:rsidP="006D1A5D">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2011</w:t>
            </w:r>
          </w:p>
        </w:tc>
      </w:tr>
      <w:tr w:rsidR="008D6141"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8D6141" w:rsidRPr="008D6141" w:rsidRDefault="008D6141" w:rsidP="006D1A5D">
            <w:pPr>
              <w:rPr>
                <w:rFonts w:eastAsia="Times New Roman"/>
              </w:rPr>
            </w:pPr>
            <w:r w:rsidRPr="008D6141">
              <w:rPr>
                <w:rFonts w:eastAsia="Times New Roman"/>
              </w:rPr>
              <w:t>Higher Ed-Trouble With Police Due To Alcohol/Drugs</w:t>
            </w:r>
          </w:p>
        </w:tc>
        <w:tc>
          <w:tcPr>
            <w:tcW w:w="1854" w:type="pct"/>
            <w:noWrap/>
            <w:hideMark/>
          </w:tcPr>
          <w:p w:rsidR="008D6141" w:rsidRPr="008D6141" w:rsidRDefault="008D6141" w:rsidP="006D1A5D">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CORE Survey</w:t>
            </w:r>
          </w:p>
        </w:tc>
        <w:tc>
          <w:tcPr>
            <w:tcW w:w="884" w:type="pct"/>
            <w:noWrap/>
            <w:hideMark/>
          </w:tcPr>
          <w:p w:rsidR="008D6141" w:rsidRPr="008D6141" w:rsidRDefault="008D6141" w:rsidP="006D1A5D">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2011</w:t>
            </w:r>
          </w:p>
        </w:tc>
      </w:tr>
      <w:tr w:rsidR="008D6141"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8D6141" w:rsidRPr="008D6141" w:rsidRDefault="008D6141" w:rsidP="006D1A5D">
            <w:pPr>
              <w:rPr>
                <w:rFonts w:eastAsia="Times New Roman"/>
              </w:rPr>
            </w:pPr>
            <w:r w:rsidRPr="008D6141">
              <w:rPr>
                <w:rFonts w:eastAsia="Times New Roman"/>
              </w:rPr>
              <w:t>Higher Ed-Underage Alcohol Use-30-Day</w:t>
            </w:r>
          </w:p>
        </w:tc>
        <w:tc>
          <w:tcPr>
            <w:tcW w:w="1854" w:type="pct"/>
            <w:tcBorders>
              <w:top w:val="none" w:sz="0" w:space="0" w:color="auto"/>
              <w:bottom w:val="none" w:sz="0" w:space="0" w:color="auto"/>
            </w:tcBorders>
            <w:noWrap/>
            <w:hideMark/>
          </w:tcPr>
          <w:p w:rsidR="008D6141" w:rsidRPr="008D6141" w:rsidRDefault="008D6141" w:rsidP="006D1A5D">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CORE Survey</w:t>
            </w:r>
          </w:p>
        </w:tc>
        <w:tc>
          <w:tcPr>
            <w:tcW w:w="884" w:type="pct"/>
            <w:tcBorders>
              <w:top w:val="none" w:sz="0" w:space="0" w:color="auto"/>
              <w:bottom w:val="none" w:sz="0" w:space="0" w:color="auto"/>
              <w:right w:val="none" w:sz="0" w:space="0" w:color="auto"/>
            </w:tcBorders>
            <w:noWrap/>
            <w:hideMark/>
          </w:tcPr>
          <w:p w:rsidR="008D6141" w:rsidRPr="008D6141" w:rsidRDefault="008D6141" w:rsidP="006D1A5D">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2011</w:t>
            </w:r>
          </w:p>
        </w:tc>
      </w:tr>
      <w:tr w:rsidR="008D6141"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8D6141" w:rsidRPr="008D6141" w:rsidRDefault="008D6141" w:rsidP="006D1A5D">
            <w:pPr>
              <w:rPr>
                <w:rFonts w:eastAsia="Times New Roman"/>
              </w:rPr>
            </w:pPr>
            <w:r w:rsidRPr="008D6141">
              <w:rPr>
                <w:rFonts w:eastAsia="Times New Roman"/>
              </w:rPr>
              <w:t>Higher Ed-Unsuccessfully Tried To Stop Using Alcohol/Drugs</w:t>
            </w:r>
          </w:p>
        </w:tc>
        <w:tc>
          <w:tcPr>
            <w:tcW w:w="1854" w:type="pct"/>
            <w:noWrap/>
            <w:hideMark/>
          </w:tcPr>
          <w:p w:rsidR="008D6141" w:rsidRPr="008D6141" w:rsidRDefault="008D6141" w:rsidP="006D1A5D">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CORE Survey</w:t>
            </w:r>
          </w:p>
        </w:tc>
        <w:tc>
          <w:tcPr>
            <w:tcW w:w="884" w:type="pct"/>
            <w:noWrap/>
            <w:hideMark/>
          </w:tcPr>
          <w:p w:rsidR="008D6141" w:rsidRPr="008D6141" w:rsidRDefault="008D6141" w:rsidP="006D1A5D">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2011</w:t>
            </w:r>
          </w:p>
        </w:tc>
      </w:tr>
      <w:tr w:rsidR="008D6141"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8D6141" w:rsidRPr="008D6141" w:rsidRDefault="008D6141" w:rsidP="006D1A5D">
            <w:pPr>
              <w:rPr>
                <w:rFonts w:eastAsia="Times New Roman"/>
              </w:rPr>
            </w:pPr>
            <w:r w:rsidRPr="008D6141">
              <w:rPr>
                <w:rFonts w:eastAsia="Times New Roman"/>
              </w:rPr>
              <w:t>Higher Ed-Unwanted Fondling And Substance Use</w:t>
            </w:r>
          </w:p>
        </w:tc>
        <w:tc>
          <w:tcPr>
            <w:tcW w:w="1854" w:type="pct"/>
            <w:tcBorders>
              <w:top w:val="none" w:sz="0" w:space="0" w:color="auto"/>
              <w:bottom w:val="none" w:sz="0" w:space="0" w:color="auto"/>
            </w:tcBorders>
            <w:noWrap/>
            <w:hideMark/>
          </w:tcPr>
          <w:p w:rsidR="008D6141" w:rsidRPr="008D6141" w:rsidRDefault="008D6141" w:rsidP="006D1A5D">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CORE Survey</w:t>
            </w:r>
          </w:p>
        </w:tc>
        <w:tc>
          <w:tcPr>
            <w:tcW w:w="884" w:type="pct"/>
            <w:tcBorders>
              <w:top w:val="none" w:sz="0" w:space="0" w:color="auto"/>
              <w:bottom w:val="none" w:sz="0" w:space="0" w:color="auto"/>
              <w:right w:val="none" w:sz="0" w:space="0" w:color="auto"/>
            </w:tcBorders>
            <w:noWrap/>
            <w:hideMark/>
          </w:tcPr>
          <w:p w:rsidR="008D6141" w:rsidRPr="008D6141" w:rsidRDefault="008D6141" w:rsidP="006D1A5D">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2011</w:t>
            </w:r>
          </w:p>
        </w:tc>
      </w:tr>
      <w:tr w:rsidR="008D6141"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8D6141" w:rsidRPr="008D6141" w:rsidRDefault="008D6141" w:rsidP="006D1A5D">
            <w:pPr>
              <w:rPr>
                <w:rFonts w:eastAsia="Times New Roman"/>
              </w:rPr>
            </w:pPr>
            <w:r w:rsidRPr="008D6141">
              <w:rPr>
                <w:rFonts w:eastAsia="Times New Roman"/>
              </w:rPr>
              <w:t>Higher Ed-Unwanted Intercourse And Substance Use</w:t>
            </w:r>
          </w:p>
        </w:tc>
        <w:tc>
          <w:tcPr>
            <w:tcW w:w="1854" w:type="pct"/>
            <w:noWrap/>
            <w:hideMark/>
          </w:tcPr>
          <w:p w:rsidR="008D6141" w:rsidRPr="008D6141" w:rsidRDefault="008D6141" w:rsidP="006D1A5D">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CORE Survey</w:t>
            </w:r>
          </w:p>
        </w:tc>
        <w:tc>
          <w:tcPr>
            <w:tcW w:w="884" w:type="pct"/>
            <w:noWrap/>
            <w:hideMark/>
          </w:tcPr>
          <w:p w:rsidR="008D6141" w:rsidRPr="008D6141" w:rsidRDefault="008D6141" w:rsidP="006D1A5D">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2011</w:t>
            </w:r>
          </w:p>
        </w:tc>
      </w:tr>
      <w:tr w:rsidR="008D6141"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8D6141" w:rsidRPr="008D6141" w:rsidRDefault="008D6141" w:rsidP="006D1A5D">
            <w:pPr>
              <w:rPr>
                <w:rFonts w:eastAsia="Times New Roman"/>
              </w:rPr>
            </w:pPr>
            <w:r w:rsidRPr="008D6141">
              <w:rPr>
                <w:rFonts w:eastAsia="Times New Roman"/>
              </w:rPr>
              <w:t>Higher Ed-Unwanted Sex Due To Alcohol/Drugs</w:t>
            </w:r>
          </w:p>
        </w:tc>
        <w:tc>
          <w:tcPr>
            <w:tcW w:w="1854" w:type="pct"/>
            <w:tcBorders>
              <w:top w:val="none" w:sz="0" w:space="0" w:color="auto"/>
              <w:bottom w:val="none" w:sz="0" w:space="0" w:color="auto"/>
            </w:tcBorders>
            <w:noWrap/>
            <w:hideMark/>
          </w:tcPr>
          <w:p w:rsidR="008D6141" w:rsidRPr="008D6141" w:rsidRDefault="008D6141" w:rsidP="006D1A5D">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CORE Survey</w:t>
            </w:r>
          </w:p>
        </w:tc>
        <w:tc>
          <w:tcPr>
            <w:tcW w:w="884" w:type="pct"/>
            <w:tcBorders>
              <w:top w:val="none" w:sz="0" w:space="0" w:color="auto"/>
              <w:bottom w:val="none" w:sz="0" w:space="0" w:color="auto"/>
              <w:right w:val="none" w:sz="0" w:space="0" w:color="auto"/>
            </w:tcBorders>
            <w:noWrap/>
            <w:hideMark/>
          </w:tcPr>
          <w:p w:rsidR="008D6141" w:rsidRPr="008D6141" w:rsidRDefault="008D6141" w:rsidP="006D1A5D">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2011</w:t>
            </w:r>
          </w:p>
        </w:tc>
      </w:tr>
      <w:tr w:rsidR="008D6141"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8D6141" w:rsidRPr="008D6141" w:rsidRDefault="008D6141" w:rsidP="006D1A5D">
            <w:pPr>
              <w:rPr>
                <w:rFonts w:eastAsia="Times New Roman"/>
              </w:rPr>
            </w:pPr>
            <w:r w:rsidRPr="008D6141">
              <w:rPr>
                <w:rFonts w:eastAsia="Times New Roman"/>
              </w:rPr>
              <w:t>HIV/AIDS Incidence</w:t>
            </w:r>
          </w:p>
        </w:tc>
        <w:tc>
          <w:tcPr>
            <w:tcW w:w="1854" w:type="pct"/>
            <w:noWrap/>
            <w:hideMark/>
          </w:tcPr>
          <w:p w:rsidR="008D6141" w:rsidRPr="008D6141" w:rsidRDefault="008D6141" w:rsidP="006D1A5D">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Louisiana Office of Public Health, Center for Records and Statistics</w:t>
            </w:r>
          </w:p>
        </w:tc>
        <w:tc>
          <w:tcPr>
            <w:tcW w:w="884" w:type="pct"/>
            <w:noWrap/>
            <w:hideMark/>
          </w:tcPr>
          <w:p w:rsidR="008D6141" w:rsidRPr="008D6141" w:rsidRDefault="008D6141" w:rsidP="006D1A5D">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2008</w:t>
            </w:r>
          </w:p>
        </w:tc>
      </w:tr>
      <w:tr w:rsidR="008D6141"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8D6141" w:rsidRPr="008D6141" w:rsidRDefault="008D6141" w:rsidP="006D1A5D">
            <w:pPr>
              <w:rPr>
                <w:rFonts w:eastAsia="Times New Roman"/>
              </w:rPr>
            </w:pPr>
            <w:r w:rsidRPr="008D6141">
              <w:rPr>
                <w:rFonts w:eastAsia="Times New Roman"/>
              </w:rPr>
              <w:t>HIV/AIDS Prevalence</w:t>
            </w:r>
          </w:p>
        </w:tc>
        <w:tc>
          <w:tcPr>
            <w:tcW w:w="1854" w:type="pct"/>
            <w:tcBorders>
              <w:top w:val="none" w:sz="0" w:space="0" w:color="auto"/>
              <w:bottom w:val="none" w:sz="0" w:space="0" w:color="auto"/>
            </w:tcBorders>
            <w:noWrap/>
            <w:hideMark/>
          </w:tcPr>
          <w:p w:rsidR="008D6141" w:rsidRPr="008D6141" w:rsidRDefault="008D6141" w:rsidP="006D1A5D">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Louisiana Office of Public Health, Center for Records and Statistics</w:t>
            </w:r>
          </w:p>
        </w:tc>
        <w:tc>
          <w:tcPr>
            <w:tcW w:w="884" w:type="pct"/>
            <w:tcBorders>
              <w:top w:val="none" w:sz="0" w:space="0" w:color="auto"/>
              <w:bottom w:val="none" w:sz="0" w:space="0" w:color="auto"/>
              <w:right w:val="none" w:sz="0" w:space="0" w:color="auto"/>
            </w:tcBorders>
            <w:noWrap/>
            <w:hideMark/>
          </w:tcPr>
          <w:p w:rsidR="008D6141" w:rsidRPr="008D6141" w:rsidRDefault="008D6141" w:rsidP="006D1A5D">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2008</w:t>
            </w:r>
          </w:p>
        </w:tc>
      </w:tr>
      <w:tr w:rsidR="008D6141"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8D6141" w:rsidRPr="008D6141" w:rsidRDefault="008D6141" w:rsidP="006D1A5D">
            <w:pPr>
              <w:rPr>
                <w:rFonts w:eastAsia="Times New Roman"/>
              </w:rPr>
            </w:pPr>
            <w:r w:rsidRPr="008D6141">
              <w:rPr>
                <w:rFonts w:eastAsia="Times New Roman"/>
              </w:rPr>
              <w:t>Homicides</w:t>
            </w:r>
          </w:p>
        </w:tc>
        <w:tc>
          <w:tcPr>
            <w:tcW w:w="1854" w:type="pct"/>
            <w:noWrap/>
            <w:hideMark/>
          </w:tcPr>
          <w:p w:rsidR="008D6141" w:rsidRPr="008D6141" w:rsidRDefault="008D6141" w:rsidP="006D1A5D">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Louisiana Office of Public Health, Center for Records and Statistics</w:t>
            </w:r>
          </w:p>
        </w:tc>
        <w:tc>
          <w:tcPr>
            <w:tcW w:w="884" w:type="pct"/>
            <w:noWrap/>
            <w:hideMark/>
          </w:tcPr>
          <w:p w:rsidR="008D6141" w:rsidRPr="008D6141" w:rsidRDefault="008D6141" w:rsidP="006D1A5D">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2010</w:t>
            </w:r>
          </w:p>
        </w:tc>
      </w:tr>
      <w:tr w:rsidR="008D6141"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8D6141" w:rsidRPr="008D6141" w:rsidRDefault="008D6141" w:rsidP="006D1A5D">
            <w:pPr>
              <w:rPr>
                <w:rFonts w:eastAsia="Times New Roman"/>
              </w:rPr>
            </w:pPr>
            <w:r w:rsidRPr="008D6141">
              <w:rPr>
                <w:rFonts w:eastAsia="Times New Roman"/>
              </w:rPr>
              <w:t>Illicit Drug Deaths</w:t>
            </w:r>
          </w:p>
        </w:tc>
        <w:tc>
          <w:tcPr>
            <w:tcW w:w="1854" w:type="pct"/>
            <w:tcBorders>
              <w:top w:val="none" w:sz="0" w:space="0" w:color="auto"/>
              <w:bottom w:val="none" w:sz="0" w:space="0" w:color="auto"/>
            </w:tcBorders>
            <w:noWrap/>
            <w:hideMark/>
          </w:tcPr>
          <w:p w:rsidR="008D6141" w:rsidRPr="008D6141" w:rsidRDefault="008D6141" w:rsidP="006D1A5D">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Louisiana Office of Public Health, Center for Records and Statistics</w:t>
            </w:r>
          </w:p>
        </w:tc>
        <w:tc>
          <w:tcPr>
            <w:tcW w:w="884" w:type="pct"/>
            <w:tcBorders>
              <w:top w:val="none" w:sz="0" w:space="0" w:color="auto"/>
              <w:bottom w:val="none" w:sz="0" w:space="0" w:color="auto"/>
              <w:right w:val="none" w:sz="0" w:space="0" w:color="auto"/>
            </w:tcBorders>
            <w:noWrap/>
            <w:hideMark/>
          </w:tcPr>
          <w:p w:rsidR="008D6141" w:rsidRPr="008D6141" w:rsidRDefault="008D6141" w:rsidP="006D1A5D">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2010</w:t>
            </w:r>
          </w:p>
        </w:tc>
      </w:tr>
      <w:tr w:rsidR="008D6141"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8D6141" w:rsidRPr="008D6141" w:rsidRDefault="008D6141" w:rsidP="006D1A5D">
            <w:pPr>
              <w:rPr>
                <w:rFonts w:eastAsia="Times New Roman"/>
              </w:rPr>
            </w:pPr>
            <w:r w:rsidRPr="008D6141">
              <w:rPr>
                <w:rFonts w:eastAsia="Times New Roman"/>
              </w:rPr>
              <w:t>Ischemic Cerebrovascular Disease (OPH)</w:t>
            </w:r>
          </w:p>
        </w:tc>
        <w:tc>
          <w:tcPr>
            <w:tcW w:w="1854" w:type="pct"/>
            <w:noWrap/>
            <w:hideMark/>
          </w:tcPr>
          <w:p w:rsidR="008D6141" w:rsidRPr="008D6141" w:rsidRDefault="008D6141" w:rsidP="006D1A5D">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Louisiana Office of Public Health, Center for Records and Statistics</w:t>
            </w:r>
          </w:p>
        </w:tc>
        <w:tc>
          <w:tcPr>
            <w:tcW w:w="884" w:type="pct"/>
            <w:noWrap/>
            <w:hideMark/>
          </w:tcPr>
          <w:p w:rsidR="008D6141" w:rsidRPr="008D6141" w:rsidRDefault="008D6141" w:rsidP="006D1A5D">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2010</w:t>
            </w:r>
          </w:p>
        </w:tc>
      </w:tr>
      <w:tr w:rsidR="008D6141"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8D6141" w:rsidRPr="008D6141" w:rsidRDefault="008D6141" w:rsidP="006D1A5D">
            <w:pPr>
              <w:rPr>
                <w:rFonts w:eastAsia="Times New Roman"/>
              </w:rPr>
            </w:pPr>
            <w:r w:rsidRPr="008D6141">
              <w:rPr>
                <w:rFonts w:eastAsia="Times New Roman"/>
              </w:rPr>
              <w:lastRenderedPageBreak/>
              <w:t>Ischemic Cerebrovascular Disease (SEDS)</w:t>
            </w:r>
          </w:p>
        </w:tc>
        <w:tc>
          <w:tcPr>
            <w:tcW w:w="1854" w:type="pct"/>
            <w:tcBorders>
              <w:top w:val="none" w:sz="0" w:space="0" w:color="auto"/>
              <w:bottom w:val="none" w:sz="0" w:space="0" w:color="auto"/>
            </w:tcBorders>
            <w:noWrap/>
            <w:hideMark/>
          </w:tcPr>
          <w:p w:rsidR="008D6141" w:rsidRPr="008D6141" w:rsidRDefault="008D6141" w:rsidP="006D1A5D">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National Vital Statistics System</w:t>
            </w:r>
            <w:r w:rsidR="002C6D99">
              <w:rPr>
                <w:rFonts w:eastAsia="Times New Roman"/>
              </w:rPr>
              <w:t xml:space="preserve"> (NVSS)</w:t>
            </w:r>
          </w:p>
        </w:tc>
        <w:tc>
          <w:tcPr>
            <w:tcW w:w="884" w:type="pct"/>
            <w:tcBorders>
              <w:top w:val="none" w:sz="0" w:space="0" w:color="auto"/>
              <w:bottom w:val="none" w:sz="0" w:space="0" w:color="auto"/>
              <w:right w:val="none" w:sz="0" w:space="0" w:color="auto"/>
            </w:tcBorders>
            <w:noWrap/>
            <w:hideMark/>
          </w:tcPr>
          <w:p w:rsidR="008D6141" w:rsidRPr="008D6141" w:rsidRDefault="008D6141" w:rsidP="006D1A5D">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2007</w:t>
            </w:r>
          </w:p>
        </w:tc>
      </w:tr>
      <w:tr w:rsidR="008D6141"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8D6141" w:rsidRPr="008D6141" w:rsidRDefault="008D6141" w:rsidP="006D1A5D">
            <w:pPr>
              <w:rPr>
                <w:rFonts w:eastAsia="Times New Roman"/>
              </w:rPr>
            </w:pPr>
            <w:r w:rsidRPr="008D6141">
              <w:rPr>
                <w:rFonts w:eastAsia="Times New Roman"/>
              </w:rPr>
              <w:t>Lung Cancer Fatalities</w:t>
            </w:r>
          </w:p>
        </w:tc>
        <w:tc>
          <w:tcPr>
            <w:tcW w:w="1854" w:type="pct"/>
            <w:noWrap/>
            <w:hideMark/>
          </w:tcPr>
          <w:p w:rsidR="008D6141" w:rsidRPr="008D6141" w:rsidRDefault="008D6141" w:rsidP="006D1A5D">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Louisiana Office of Public Health, Center for Records and Statistics</w:t>
            </w:r>
          </w:p>
        </w:tc>
        <w:tc>
          <w:tcPr>
            <w:tcW w:w="884" w:type="pct"/>
            <w:noWrap/>
            <w:hideMark/>
          </w:tcPr>
          <w:p w:rsidR="008D6141" w:rsidRPr="008D6141" w:rsidRDefault="008D6141" w:rsidP="006D1A5D">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2010</w:t>
            </w:r>
          </w:p>
        </w:tc>
      </w:tr>
      <w:tr w:rsidR="008D6141"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8D6141" w:rsidRPr="008D6141" w:rsidRDefault="008D6141" w:rsidP="006D1A5D">
            <w:pPr>
              <w:rPr>
                <w:rFonts w:eastAsia="Times New Roman"/>
              </w:rPr>
            </w:pPr>
            <w:r w:rsidRPr="008D6141">
              <w:rPr>
                <w:rFonts w:eastAsia="Times New Roman"/>
              </w:rPr>
              <w:t>Lung Disease Fatalities</w:t>
            </w:r>
          </w:p>
        </w:tc>
        <w:tc>
          <w:tcPr>
            <w:tcW w:w="1854" w:type="pct"/>
            <w:tcBorders>
              <w:top w:val="none" w:sz="0" w:space="0" w:color="auto"/>
              <w:bottom w:val="none" w:sz="0" w:space="0" w:color="auto"/>
            </w:tcBorders>
            <w:noWrap/>
            <w:hideMark/>
          </w:tcPr>
          <w:p w:rsidR="008D6141" w:rsidRPr="008D6141" w:rsidRDefault="008D6141" w:rsidP="006D1A5D">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Louisiana Office of Public Health, Center for Records and Statistics</w:t>
            </w:r>
          </w:p>
        </w:tc>
        <w:tc>
          <w:tcPr>
            <w:tcW w:w="884" w:type="pct"/>
            <w:tcBorders>
              <w:top w:val="none" w:sz="0" w:space="0" w:color="auto"/>
              <w:bottom w:val="none" w:sz="0" w:space="0" w:color="auto"/>
              <w:right w:val="none" w:sz="0" w:space="0" w:color="auto"/>
            </w:tcBorders>
            <w:noWrap/>
            <w:hideMark/>
          </w:tcPr>
          <w:p w:rsidR="008D6141" w:rsidRPr="008D6141" w:rsidRDefault="008D6141" w:rsidP="006D1A5D">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2010</w:t>
            </w:r>
          </w:p>
        </w:tc>
      </w:tr>
      <w:tr w:rsidR="008D6141"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8D6141" w:rsidRPr="008D6141" w:rsidRDefault="008D6141" w:rsidP="006D1A5D">
            <w:pPr>
              <w:rPr>
                <w:rFonts w:eastAsia="Times New Roman"/>
              </w:rPr>
            </w:pPr>
            <w:r w:rsidRPr="008D6141">
              <w:rPr>
                <w:rFonts w:eastAsia="Times New Roman"/>
              </w:rPr>
              <w:t>Other Related Cirrhosis Fatalities</w:t>
            </w:r>
          </w:p>
        </w:tc>
        <w:tc>
          <w:tcPr>
            <w:tcW w:w="1854" w:type="pct"/>
            <w:noWrap/>
            <w:hideMark/>
          </w:tcPr>
          <w:p w:rsidR="008D6141" w:rsidRPr="008D6141" w:rsidRDefault="008D6141" w:rsidP="006D1A5D">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National Vital Statistics System</w:t>
            </w:r>
            <w:r w:rsidR="00536982">
              <w:rPr>
                <w:rFonts w:eastAsia="Times New Roman"/>
              </w:rPr>
              <w:t xml:space="preserve"> </w:t>
            </w:r>
            <w:r w:rsidR="002C6D99">
              <w:rPr>
                <w:rFonts w:eastAsia="Times New Roman"/>
              </w:rPr>
              <w:t>(NVSS)</w:t>
            </w:r>
          </w:p>
        </w:tc>
        <w:tc>
          <w:tcPr>
            <w:tcW w:w="884" w:type="pct"/>
            <w:noWrap/>
            <w:hideMark/>
          </w:tcPr>
          <w:p w:rsidR="008D6141" w:rsidRPr="008D6141" w:rsidRDefault="008D6141" w:rsidP="006D1A5D">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2007</w:t>
            </w:r>
          </w:p>
        </w:tc>
      </w:tr>
      <w:tr w:rsidR="008D6141"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8D6141" w:rsidRPr="008D6141" w:rsidRDefault="008D6141" w:rsidP="006D1A5D">
            <w:pPr>
              <w:rPr>
                <w:rFonts w:eastAsia="Times New Roman"/>
              </w:rPr>
            </w:pPr>
            <w:r w:rsidRPr="008D6141">
              <w:rPr>
                <w:rFonts w:eastAsia="Times New Roman"/>
              </w:rPr>
              <w:t>Percent Of Alcohol Related Fatal Vehicle Crashes</w:t>
            </w:r>
          </w:p>
        </w:tc>
        <w:tc>
          <w:tcPr>
            <w:tcW w:w="1854" w:type="pct"/>
            <w:tcBorders>
              <w:top w:val="none" w:sz="0" w:space="0" w:color="auto"/>
              <w:bottom w:val="none" w:sz="0" w:space="0" w:color="auto"/>
            </w:tcBorders>
            <w:noWrap/>
            <w:hideMark/>
          </w:tcPr>
          <w:p w:rsidR="008D6141" w:rsidRPr="008D6141" w:rsidRDefault="008D6141" w:rsidP="006D1A5D">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Fatality Analysis Reporting System</w:t>
            </w:r>
            <w:r w:rsidR="002C6D99">
              <w:rPr>
                <w:rFonts w:eastAsia="Times New Roman"/>
              </w:rPr>
              <w:t xml:space="preserve"> (FARS)</w:t>
            </w:r>
          </w:p>
        </w:tc>
        <w:tc>
          <w:tcPr>
            <w:tcW w:w="884" w:type="pct"/>
            <w:tcBorders>
              <w:top w:val="none" w:sz="0" w:space="0" w:color="auto"/>
              <w:bottom w:val="none" w:sz="0" w:space="0" w:color="auto"/>
              <w:right w:val="none" w:sz="0" w:space="0" w:color="auto"/>
            </w:tcBorders>
            <w:noWrap/>
            <w:hideMark/>
          </w:tcPr>
          <w:p w:rsidR="008D6141" w:rsidRPr="008D6141" w:rsidRDefault="008D6141" w:rsidP="006D1A5D">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2007</w:t>
            </w:r>
          </w:p>
        </w:tc>
      </w:tr>
      <w:tr w:rsidR="008D6141"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8D6141" w:rsidRPr="008D6141" w:rsidRDefault="008D6141" w:rsidP="006D1A5D">
            <w:pPr>
              <w:rPr>
                <w:rFonts w:eastAsia="Times New Roman"/>
              </w:rPr>
            </w:pPr>
            <w:r w:rsidRPr="008D6141">
              <w:rPr>
                <w:rFonts w:eastAsia="Times New Roman"/>
              </w:rPr>
              <w:t>Reported Property Crimes</w:t>
            </w:r>
          </w:p>
        </w:tc>
        <w:tc>
          <w:tcPr>
            <w:tcW w:w="1854" w:type="pct"/>
            <w:noWrap/>
            <w:hideMark/>
          </w:tcPr>
          <w:p w:rsidR="008D6141" w:rsidRPr="008D6141" w:rsidRDefault="008D6141" w:rsidP="006D1A5D">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Uniform Crime Reporting</w:t>
            </w:r>
            <w:r w:rsidR="002C6D99">
              <w:rPr>
                <w:rFonts w:eastAsia="Times New Roman"/>
              </w:rPr>
              <w:t xml:space="preserve"> (UCR)</w:t>
            </w:r>
          </w:p>
        </w:tc>
        <w:tc>
          <w:tcPr>
            <w:tcW w:w="884" w:type="pct"/>
            <w:noWrap/>
            <w:hideMark/>
          </w:tcPr>
          <w:p w:rsidR="008D6141" w:rsidRPr="008D6141" w:rsidRDefault="008D6141" w:rsidP="006D1A5D">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2007</w:t>
            </w:r>
          </w:p>
        </w:tc>
      </w:tr>
      <w:tr w:rsidR="008D6141"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8D6141" w:rsidRPr="008D6141" w:rsidRDefault="008D6141" w:rsidP="006D1A5D">
            <w:pPr>
              <w:rPr>
                <w:rFonts w:eastAsia="Times New Roman"/>
              </w:rPr>
            </w:pPr>
            <w:r w:rsidRPr="008D6141">
              <w:rPr>
                <w:rFonts w:eastAsia="Times New Roman"/>
              </w:rPr>
              <w:t>Reported Violent Crimes</w:t>
            </w:r>
          </w:p>
        </w:tc>
        <w:tc>
          <w:tcPr>
            <w:tcW w:w="1854" w:type="pct"/>
            <w:tcBorders>
              <w:top w:val="none" w:sz="0" w:space="0" w:color="auto"/>
              <w:bottom w:val="none" w:sz="0" w:space="0" w:color="auto"/>
            </w:tcBorders>
            <w:noWrap/>
            <w:hideMark/>
          </w:tcPr>
          <w:p w:rsidR="008D6141" w:rsidRPr="008D6141" w:rsidRDefault="008D6141" w:rsidP="006D1A5D">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Uniform Crime Reporting</w:t>
            </w:r>
            <w:r w:rsidR="002C6D99">
              <w:rPr>
                <w:rFonts w:eastAsia="Times New Roman"/>
              </w:rPr>
              <w:t xml:space="preserve"> (UCR)</w:t>
            </w:r>
          </w:p>
        </w:tc>
        <w:tc>
          <w:tcPr>
            <w:tcW w:w="884" w:type="pct"/>
            <w:tcBorders>
              <w:top w:val="none" w:sz="0" w:space="0" w:color="auto"/>
              <w:bottom w:val="none" w:sz="0" w:space="0" w:color="auto"/>
              <w:right w:val="none" w:sz="0" w:space="0" w:color="auto"/>
            </w:tcBorders>
            <w:noWrap/>
            <w:hideMark/>
          </w:tcPr>
          <w:p w:rsidR="008D6141" w:rsidRPr="008D6141" w:rsidRDefault="008D6141" w:rsidP="006D1A5D">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2007</w:t>
            </w:r>
          </w:p>
        </w:tc>
      </w:tr>
      <w:tr w:rsidR="008D6141"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8D6141" w:rsidRPr="008D6141" w:rsidRDefault="008D6141" w:rsidP="006D1A5D">
            <w:pPr>
              <w:rPr>
                <w:rFonts w:eastAsia="Times New Roman"/>
              </w:rPr>
            </w:pPr>
            <w:r w:rsidRPr="008D6141">
              <w:rPr>
                <w:rFonts w:eastAsia="Times New Roman"/>
              </w:rPr>
              <w:t>School Dropouts Grades 7-12</w:t>
            </w:r>
          </w:p>
        </w:tc>
        <w:tc>
          <w:tcPr>
            <w:tcW w:w="1854" w:type="pct"/>
            <w:noWrap/>
            <w:hideMark/>
          </w:tcPr>
          <w:p w:rsidR="008D6141" w:rsidRPr="008D6141" w:rsidRDefault="008D6141" w:rsidP="006D1A5D">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Louisiana Department of Education</w:t>
            </w:r>
          </w:p>
        </w:tc>
        <w:tc>
          <w:tcPr>
            <w:tcW w:w="884" w:type="pct"/>
            <w:noWrap/>
            <w:hideMark/>
          </w:tcPr>
          <w:p w:rsidR="008D6141" w:rsidRPr="008D6141" w:rsidRDefault="008D6141" w:rsidP="006D1A5D">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2011</w:t>
            </w:r>
          </w:p>
        </w:tc>
      </w:tr>
      <w:tr w:rsidR="008D6141"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8D6141" w:rsidRPr="008D6141" w:rsidRDefault="008D6141" w:rsidP="006D1A5D">
            <w:pPr>
              <w:rPr>
                <w:rFonts w:eastAsia="Times New Roman"/>
              </w:rPr>
            </w:pPr>
            <w:r w:rsidRPr="008D6141">
              <w:rPr>
                <w:rFonts w:eastAsia="Times New Roman"/>
              </w:rPr>
              <w:t>School Dropouts Grades 9-12</w:t>
            </w:r>
          </w:p>
        </w:tc>
        <w:tc>
          <w:tcPr>
            <w:tcW w:w="1854" w:type="pct"/>
            <w:tcBorders>
              <w:top w:val="none" w:sz="0" w:space="0" w:color="auto"/>
              <w:bottom w:val="none" w:sz="0" w:space="0" w:color="auto"/>
            </w:tcBorders>
            <w:noWrap/>
            <w:hideMark/>
          </w:tcPr>
          <w:p w:rsidR="008D6141" w:rsidRPr="008D6141" w:rsidRDefault="008D6141" w:rsidP="006D1A5D">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Louisiana Department of Education</w:t>
            </w:r>
          </w:p>
        </w:tc>
        <w:tc>
          <w:tcPr>
            <w:tcW w:w="884" w:type="pct"/>
            <w:tcBorders>
              <w:top w:val="none" w:sz="0" w:space="0" w:color="auto"/>
              <w:bottom w:val="none" w:sz="0" w:space="0" w:color="auto"/>
              <w:right w:val="none" w:sz="0" w:space="0" w:color="auto"/>
            </w:tcBorders>
            <w:noWrap/>
            <w:hideMark/>
          </w:tcPr>
          <w:p w:rsidR="008D6141" w:rsidRPr="008D6141" w:rsidRDefault="008D6141" w:rsidP="006D1A5D">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2011</w:t>
            </w:r>
          </w:p>
        </w:tc>
      </w:tr>
      <w:tr w:rsidR="008D6141"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8D6141" w:rsidRPr="008D6141" w:rsidRDefault="008D6141" w:rsidP="006D1A5D">
            <w:pPr>
              <w:rPr>
                <w:rFonts w:eastAsia="Times New Roman"/>
              </w:rPr>
            </w:pPr>
            <w:r w:rsidRPr="008D6141">
              <w:rPr>
                <w:rFonts w:eastAsia="Times New Roman"/>
              </w:rPr>
              <w:t>Smoking Related Cardiovascular Disease (OPH)</w:t>
            </w:r>
          </w:p>
        </w:tc>
        <w:tc>
          <w:tcPr>
            <w:tcW w:w="1854" w:type="pct"/>
            <w:noWrap/>
            <w:hideMark/>
          </w:tcPr>
          <w:p w:rsidR="008D6141" w:rsidRPr="008D6141" w:rsidRDefault="008D6141" w:rsidP="006D1A5D">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Louisiana Office of Public Health, Center for Records and Statistics</w:t>
            </w:r>
          </w:p>
        </w:tc>
        <w:tc>
          <w:tcPr>
            <w:tcW w:w="884" w:type="pct"/>
            <w:noWrap/>
            <w:hideMark/>
          </w:tcPr>
          <w:p w:rsidR="008D6141" w:rsidRPr="008D6141" w:rsidRDefault="008D6141" w:rsidP="006D1A5D">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2010</w:t>
            </w:r>
          </w:p>
        </w:tc>
      </w:tr>
      <w:tr w:rsidR="008D6141"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8D6141" w:rsidRPr="008D6141" w:rsidRDefault="008D6141" w:rsidP="006D1A5D">
            <w:pPr>
              <w:rPr>
                <w:rFonts w:eastAsia="Times New Roman"/>
              </w:rPr>
            </w:pPr>
            <w:r w:rsidRPr="008D6141">
              <w:rPr>
                <w:rFonts w:eastAsia="Times New Roman"/>
              </w:rPr>
              <w:t>Smoking Related Cardiovascular Disease (SEDS)</w:t>
            </w:r>
          </w:p>
        </w:tc>
        <w:tc>
          <w:tcPr>
            <w:tcW w:w="1854" w:type="pct"/>
            <w:tcBorders>
              <w:top w:val="none" w:sz="0" w:space="0" w:color="auto"/>
              <w:bottom w:val="none" w:sz="0" w:space="0" w:color="auto"/>
            </w:tcBorders>
            <w:noWrap/>
            <w:hideMark/>
          </w:tcPr>
          <w:p w:rsidR="008D6141" w:rsidRPr="008D6141" w:rsidRDefault="008D6141" w:rsidP="006D1A5D">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National Vital Statistics System</w:t>
            </w:r>
            <w:r w:rsidR="00536982">
              <w:rPr>
                <w:rFonts w:eastAsia="Times New Roman"/>
              </w:rPr>
              <w:t xml:space="preserve"> </w:t>
            </w:r>
            <w:r w:rsidR="002C6D99">
              <w:rPr>
                <w:rFonts w:eastAsia="Times New Roman"/>
              </w:rPr>
              <w:t>(NVSS)</w:t>
            </w:r>
          </w:p>
        </w:tc>
        <w:tc>
          <w:tcPr>
            <w:tcW w:w="884" w:type="pct"/>
            <w:tcBorders>
              <w:top w:val="none" w:sz="0" w:space="0" w:color="auto"/>
              <w:bottom w:val="none" w:sz="0" w:space="0" w:color="auto"/>
              <w:right w:val="none" w:sz="0" w:space="0" w:color="auto"/>
            </w:tcBorders>
            <w:noWrap/>
            <w:hideMark/>
          </w:tcPr>
          <w:p w:rsidR="008D6141" w:rsidRPr="008D6141" w:rsidRDefault="008D6141" w:rsidP="006D1A5D">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2007</w:t>
            </w:r>
          </w:p>
        </w:tc>
      </w:tr>
      <w:tr w:rsidR="008D6141"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8D6141" w:rsidRPr="008D6141" w:rsidRDefault="008D6141" w:rsidP="006D1A5D">
            <w:pPr>
              <w:rPr>
                <w:rFonts w:eastAsia="Times New Roman"/>
              </w:rPr>
            </w:pPr>
            <w:r w:rsidRPr="008D6141">
              <w:rPr>
                <w:rFonts w:eastAsia="Times New Roman"/>
              </w:rPr>
              <w:t>Suicides</w:t>
            </w:r>
          </w:p>
        </w:tc>
        <w:tc>
          <w:tcPr>
            <w:tcW w:w="1854" w:type="pct"/>
            <w:noWrap/>
            <w:hideMark/>
          </w:tcPr>
          <w:p w:rsidR="008D6141" w:rsidRPr="008D6141" w:rsidRDefault="008D6141" w:rsidP="006D1A5D">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Louisiana Office of Public Health, Center for Records and Statistics</w:t>
            </w:r>
          </w:p>
        </w:tc>
        <w:tc>
          <w:tcPr>
            <w:tcW w:w="884" w:type="pct"/>
            <w:noWrap/>
            <w:hideMark/>
          </w:tcPr>
          <w:p w:rsidR="008D6141" w:rsidRPr="008D6141" w:rsidRDefault="008D6141" w:rsidP="006D1A5D">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2010</w:t>
            </w:r>
          </w:p>
        </w:tc>
      </w:tr>
      <w:tr w:rsidR="008D6141"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8D6141" w:rsidRPr="008D6141" w:rsidRDefault="008D6141" w:rsidP="006D1A5D">
            <w:pPr>
              <w:rPr>
                <w:rFonts w:eastAsia="Times New Roman"/>
              </w:rPr>
            </w:pPr>
            <w:r w:rsidRPr="008D6141">
              <w:rPr>
                <w:rFonts w:eastAsia="Times New Roman"/>
              </w:rPr>
              <w:t>Tobacco Or Lighter Expulsions And Suspensions</w:t>
            </w:r>
          </w:p>
        </w:tc>
        <w:tc>
          <w:tcPr>
            <w:tcW w:w="1854" w:type="pct"/>
            <w:tcBorders>
              <w:top w:val="none" w:sz="0" w:space="0" w:color="auto"/>
              <w:bottom w:val="none" w:sz="0" w:space="0" w:color="auto"/>
            </w:tcBorders>
            <w:noWrap/>
            <w:hideMark/>
          </w:tcPr>
          <w:p w:rsidR="008D6141" w:rsidRPr="008D6141" w:rsidRDefault="008D6141" w:rsidP="006D1A5D">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Louisiana Department of Education</w:t>
            </w:r>
          </w:p>
        </w:tc>
        <w:tc>
          <w:tcPr>
            <w:tcW w:w="884" w:type="pct"/>
            <w:tcBorders>
              <w:top w:val="none" w:sz="0" w:space="0" w:color="auto"/>
              <w:bottom w:val="none" w:sz="0" w:space="0" w:color="auto"/>
              <w:right w:val="none" w:sz="0" w:space="0" w:color="auto"/>
            </w:tcBorders>
            <w:noWrap/>
            <w:hideMark/>
          </w:tcPr>
          <w:p w:rsidR="008D6141" w:rsidRPr="008D6141" w:rsidRDefault="008D6141" w:rsidP="006D1A5D">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2008</w:t>
            </w:r>
          </w:p>
        </w:tc>
      </w:tr>
      <w:tr w:rsidR="008D6141"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8D6141" w:rsidRPr="008D6141" w:rsidRDefault="008D6141" w:rsidP="006D1A5D">
            <w:pPr>
              <w:rPr>
                <w:rFonts w:eastAsia="Times New Roman"/>
              </w:rPr>
            </w:pPr>
            <w:r w:rsidRPr="008D6141">
              <w:rPr>
                <w:rFonts w:eastAsia="Times New Roman"/>
              </w:rPr>
              <w:t>Treatment Admissions (OBH)</w:t>
            </w:r>
          </w:p>
        </w:tc>
        <w:tc>
          <w:tcPr>
            <w:tcW w:w="1854" w:type="pct"/>
            <w:noWrap/>
            <w:hideMark/>
          </w:tcPr>
          <w:p w:rsidR="008D6141" w:rsidRPr="008D6141" w:rsidRDefault="00740838" w:rsidP="006D1A5D">
            <w:pP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 xml:space="preserve">Office of Addictive Disorders, </w:t>
            </w:r>
            <w:r w:rsidR="008D6141" w:rsidRPr="008D6141">
              <w:rPr>
                <w:rFonts w:eastAsia="Times New Roman"/>
              </w:rPr>
              <w:t>Office for Behavioral Health</w:t>
            </w:r>
          </w:p>
        </w:tc>
        <w:tc>
          <w:tcPr>
            <w:tcW w:w="884" w:type="pct"/>
            <w:noWrap/>
            <w:hideMark/>
          </w:tcPr>
          <w:p w:rsidR="008D6141" w:rsidRPr="008D6141" w:rsidRDefault="008D6141" w:rsidP="006D1A5D">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2011</w:t>
            </w:r>
          </w:p>
        </w:tc>
      </w:tr>
      <w:tr w:rsidR="008D6141"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8D6141" w:rsidRPr="008D6141" w:rsidRDefault="008D6141" w:rsidP="006D1A5D">
            <w:pPr>
              <w:rPr>
                <w:rFonts w:eastAsia="Times New Roman"/>
              </w:rPr>
            </w:pPr>
            <w:r w:rsidRPr="008D6141">
              <w:rPr>
                <w:rFonts w:eastAsia="Times New Roman"/>
              </w:rPr>
              <w:t>Youth Alcohol Use-30-Day</w:t>
            </w:r>
          </w:p>
        </w:tc>
        <w:tc>
          <w:tcPr>
            <w:tcW w:w="1854" w:type="pct"/>
            <w:tcBorders>
              <w:top w:val="none" w:sz="0" w:space="0" w:color="auto"/>
              <w:bottom w:val="none" w:sz="0" w:space="0" w:color="auto"/>
            </w:tcBorders>
            <w:noWrap/>
            <w:hideMark/>
          </w:tcPr>
          <w:p w:rsidR="008D6141" w:rsidRPr="008D6141" w:rsidRDefault="008D6141" w:rsidP="006D1A5D">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Caring Communities Youth Survey</w:t>
            </w:r>
            <w:r w:rsidR="002C6D99">
              <w:rPr>
                <w:rFonts w:eastAsia="Times New Roman"/>
              </w:rPr>
              <w:t xml:space="preserve"> (CCYS)</w:t>
            </w:r>
          </w:p>
        </w:tc>
        <w:tc>
          <w:tcPr>
            <w:tcW w:w="884" w:type="pct"/>
            <w:tcBorders>
              <w:top w:val="none" w:sz="0" w:space="0" w:color="auto"/>
              <w:bottom w:val="none" w:sz="0" w:space="0" w:color="auto"/>
              <w:right w:val="none" w:sz="0" w:space="0" w:color="auto"/>
            </w:tcBorders>
            <w:noWrap/>
            <w:hideMark/>
          </w:tcPr>
          <w:p w:rsidR="008D6141" w:rsidRPr="008D6141" w:rsidRDefault="00E97595" w:rsidP="00E97595">
            <w:pP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2012</w:t>
            </w:r>
          </w:p>
        </w:tc>
      </w:tr>
      <w:tr w:rsidR="00E97595"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E97595" w:rsidRPr="008D6141" w:rsidRDefault="00E97595" w:rsidP="00E97595">
            <w:pPr>
              <w:rPr>
                <w:rFonts w:eastAsia="Times New Roman"/>
              </w:rPr>
            </w:pPr>
            <w:r w:rsidRPr="008D6141">
              <w:rPr>
                <w:rFonts w:eastAsia="Times New Roman"/>
              </w:rPr>
              <w:t>Youth Alcohol Use-Lifetime</w:t>
            </w:r>
          </w:p>
        </w:tc>
        <w:tc>
          <w:tcPr>
            <w:tcW w:w="1854" w:type="pct"/>
            <w:noWrap/>
            <w:hideMark/>
          </w:tcPr>
          <w:p w:rsidR="00E97595" w:rsidRPr="008D6141" w:rsidRDefault="00E97595" w:rsidP="00E97595">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noWrap/>
            <w:hideMark/>
          </w:tcPr>
          <w:p w:rsidR="00E97595" w:rsidRDefault="00E97595" w:rsidP="00E97595">
            <w:pPr>
              <w:cnfStyle w:val="000000000000" w:firstRow="0" w:lastRow="0" w:firstColumn="0" w:lastColumn="0" w:oddVBand="0" w:evenVBand="0" w:oddHBand="0" w:evenHBand="0" w:firstRowFirstColumn="0" w:firstRowLastColumn="0" w:lastRowFirstColumn="0" w:lastRowLastColumn="0"/>
            </w:pPr>
            <w:r w:rsidRPr="00E844A8">
              <w:rPr>
                <w:rFonts w:eastAsia="Times New Roman"/>
              </w:rPr>
              <w:t>2012</w:t>
            </w:r>
          </w:p>
        </w:tc>
      </w:tr>
      <w:tr w:rsidR="00E97595"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E97595" w:rsidRPr="008D6141" w:rsidRDefault="00E97595" w:rsidP="00E97595">
            <w:pPr>
              <w:rPr>
                <w:rFonts w:eastAsia="Times New Roman"/>
              </w:rPr>
            </w:pPr>
            <w:r w:rsidRPr="008D6141">
              <w:rPr>
                <w:rFonts w:eastAsia="Times New Roman"/>
              </w:rPr>
              <w:t>Youth Any Gambling In The Past Year</w:t>
            </w:r>
          </w:p>
        </w:tc>
        <w:tc>
          <w:tcPr>
            <w:tcW w:w="1854" w:type="pct"/>
            <w:tcBorders>
              <w:top w:val="none" w:sz="0" w:space="0" w:color="auto"/>
              <w:bottom w:val="none" w:sz="0" w:space="0" w:color="auto"/>
            </w:tcBorders>
            <w:noWrap/>
            <w:hideMark/>
          </w:tcPr>
          <w:p w:rsidR="00E97595" w:rsidRPr="008D6141" w:rsidRDefault="00E97595" w:rsidP="00E97595">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tcBorders>
              <w:top w:val="none" w:sz="0" w:space="0" w:color="auto"/>
              <w:bottom w:val="none" w:sz="0" w:space="0" w:color="auto"/>
              <w:right w:val="none" w:sz="0" w:space="0" w:color="auto"/>
            </w:tcBorders>
            <w:noWrap/>
            <w:hideMark/>
          </w:tcPr>
          <w:p w:rsidR="00E97595" w:rsidRDefault="00E97595" w:rsidP="00E97595">
            <w:pPr>
              <w:cnfStyle w:val="000000100000" w:firstRow="0" w:lastRow="0" w:firstColumn="0" w:lastColumn="0" w:oddVBand="0" w:evenVBand="0" w:oddHBand="1" w:evenHBand="0" w:firstRowFirstColumn="0" w:firstRowLastColumn="0" w:lastRowFirstColumn="0" w:lastRowLastColumn="0"/>
            </w:pPr>
            <w:r w:rsidRPr="00E844A8">
              <w:rPr>
                <w:rFonts w:eastAsia="Times New Roman"/>
              </w:rPr>
              <w:t>2012</w:t>
            </w:r>
          </w:p>
        </w:tc>
      </w:tr>
      <w:tr w:rsidR="00E97595"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E97595" w:rsidRPr="008D6141" w:rsidRDefault="00E97595" w:rsidP="00E97595">
            <w:pPr>
              <w:rPr>
                <w:rFonts w:eastAsia="Times New Roman"/>
              </w:rPr>
            </w:pPr>
            <w:r w:rsidRPr="008D6141">
              <w:rPr>
                <w:rFonts w:eastAsia="Times New Roman"/>
              </w:rPr>
              <w:t>Youth Attacked to Harm</w:t>
            </w:r>
          </w:p>
        </w:tc>
        <w:tc>
          <w:tcPr>
            <w:tcW w:w="1854" w:type="pct"/>
            <w:noWrap/>
            <w:hideMark/>
          </w:tcPr>
          <w:p w:rsidR="00E97595" w:rsidRPr="008D6141" w:rsidRDefault="00E97595" w:rsidP="00E97595">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noWrap/>
            <w:hideMark/>
          </w:tcPr>
          <w:p w:rsidR="00E97595" w:rsidRDefault="00E97595" w:rsidP="00E97595">
            <w:pPr>
              <w:cnfStyle w:val="000000000000" w:firstRow="0" w:lastRow="0" w:firstColumn="0" w:lastColumn="0" w:oddVBand="0" w:evenVBand="0" w:oddHBand="0" w:evenHBand="0" w:firstRowFirstColumn="0" w:firstRowLastColumn="0" w:lastRowFirstColumn="0" w:lastRowLastColumn="0"/>
            </w:pPr>
            <w:r w:rsidRPr="00E844A8">
              <w:rPr>
                <w:rFonts w:eastAsia="Times New Roman"/>
              </w:rPr>
              <w:t>2012</w:t>
            </w:r>
          </w:p>
        </w:tc>
      </w:tr>
      <w:tr w:rsidR="00E97595"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E97595" w:rsidRPr="008D6141" w:rsidRDefault="00E97595" w:rsidP="00E97595">
            <w:pPr>
              <w:rPr>
                <w:rFonts w:eastAsia="Times New Roman"/>
              </w:rPr>
            </w:pPr>
            <w:r w:rsidRPr="008D6141">
              <w:rPr>
                <w:rFonts w:eastAsia="Times New Roman"/>
              </w:rPr>
              <w:t>Youth Been Arrested</w:t>
            </w:r>
          </w:p>
        </w:tc>
        <w:tc>
          <w:tcPr>
            <w:tcW w:w="1854" w:type="pct"/>
            <w:tcBorders>
              <w:top w:val="none" w:sz="0" w:space="0" w:color="auto"/>
              <w:bottom w:val="none" w:sz="0" w:space="0" w:color="auto"/>
            </w:tcBorders>
            <w:noWrap/>
            <w:hideMark/>
          </w:tcPr>
          <w:p w:rsidR="00E97595" w:rsidRPr="008D6141" w:rsidRDefault="00E97595" w:rsidP="00E97595">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tcBorders>
              <w:top w:val="none" w:sz="0" w:space="0" w:color="auto"/>
              <w:bottom w:val="none" w:sz="0" w:space="0" w:color="auto"/>
              <w:right w:val="none" w:sz="0" w:space="0" w:color="auto"/>
            </w:tcBorders>
            <w:noWrap/>
            <w:hideMark/>
          </w:tcPr>
          <w:p w:rsidR="00E97595" w:rsidRDefault="00E97595" w:rsidP="00E97595">
            <w:pPr>
              <w:cnfStyle w:val="000000100000" w:firstRow="0" w:lastRow="0" w:firstColumn="0" w:lastColumn="0" w:oddVBand="0" w:evenVBand="0" w:oddHBand="1" w:evenHBand="0" w:firstRowFirstColumn="0" w:firstRowLastColumn="0" w:lastRowFirstColumn="0" w:lastRowLastColumn="0"/>
            </w:pPr>
            <w:r w:rsidRPr="00E844A8">
              <w:rPr>
                <w:rFonts w:eastAsia="Times New Roman"/>
              </w:rPr>
              <w:t>2012</w:t>
            </w:r>
          </w:p>
        </w:tc>
      </w:tr>
      <w:tr w:rsidR="00E97595"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E97595" w:rsidRPr="008D6141" w:rsidRDefault="00E97595" w:rsidP="00E97595">
            <w:pPr>
              <w:rPr>
                <w:rFonts w:eastAsia="Times New Roman"/>
              </w:rPr>
            </w:pPr>
            <w:r w:rsidRPr="008D6141">
              <w:rPr>
                <w:rFonts w:eastAsia="Times New Roman"/>
              </w:rPr>
              <w:t>Youth Binge Drinking</w:t>
            </w:r>
          </w:p>
        </w:tc>
        <w:tc>
          <w:tcPr>
            <w:tcW w:w="1854" w:type="pct"/>
            <w:noWrap/>
            <w:hideMark/>
          </w:tcPr>
          <w:p w:rsidR="00E97595" w:rsidRPr="008D6141" w:rsidRDefault="00E97595" w:rsidP="00E97595">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noWrap/>
            <w:hideMark/>
          </w:tcPr>
          <w:p w:rsidR="00E97595" w:rsidRDefault="00E97595" w:rsidP="00E97595">
            <w:pPr>
              <w:cnfStyle w:val="000000000000" w:firstRow="0" w:lastRow="0" w:firstColumn="0" w:lastColumn="0" w:oddVBand="0" w:evenVBand="0" w:oddHBand="0" w:evenHBand="0" w:firstRowFirstColumn="0" w:firstRowLastColumn="0" w:lastRowFirstColumn="0" w:lastRowLastColumn="0"/>
            </w:pPr>
            <w:r w:rsidRPr="00E844A8">
              <w:rPr>
                <w:rFonts w:eastAsia="Times New Roman"/>
              </w:rPr>
              <w:t>2012</w:t>
            </w:r>
          </w:p>
        </w:tc>
      </w:tr>
      <w:tr w:rsidR="00E97595"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E97595" w:rsidRPr="008D6141" w:rsidRDefault="00E97595" w:rsidP="00E97595">
            <w:pPr>
              <w:rPr>
                <w:rFonts w:eastAsia="Times New Roman"/>
              </w:rPr>
            </w:pPr>
            <w:r w:rsidRPr="008D6141">
              <w:rPr>
                <w:rFonts w:eastAsia="Times New Roman"/>
              </w:rPr>
              <w:t>Youth Carried A Handgun</w:t>
            </w:r>
          </w:p>
        </w:tc>
        <w:tc>
          <w:tcPr>
            <w:tcW w:w="1854" w:type="pct"/>
            <w:tcBorders>
              <w:top w:val="none" w:sz="0" w:space="0" w:color="auto"/>
              <w:bottom w:val="none" w:sz="0" w:space="0" w:color="auto"/>
            </w:tcBorders>
            <w:noWrap/>
            <w:hideMark/>
          </w:tcPr>
          <w:p w:rsidR="00E97595" w:rsidRPr="008D6141" w:rsidRDefault="00E97595" w:rsidP="00E97595">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tcBorders>
              <w:top w:val="none" w:sz="0" w:space="0" w:color="auto"/>
              <w:bottom w:val="none" w:sz="0" w:space="0" w:color="auto"/>
              <w:right w:val="none" w:sz="0" w:space="0" w:color="auto"/>
            </w:tcBorders>
            <w:noWrap/>
            <w:hideMark/>
          </w:tcPr>
          <w:p w:rsidR="00E97595" w:rsidRDefault="00E97595" w:rsidP="00E97595">
            <w:pPr>
              <w:cnfStyle w:val="000000100000" w:firstRow="0" w:lastRow="0" w:firstColumn="0" w:lastColumn="0" w:oddVBand="0" w:evenVBand="0" w:oddHBand="1" w:evenHBand="0" w:firstRowFirstColumn="0" w:firstRowLastColumn="0" w:lastRowFirstColumn="0" w:lastRowLastColumn="0"/>
            </w:pPr>
            <w:r w:rsidRPr="00E844A8">
              <w:rPr>
                <w:rFonts w:eastAsia="Times New Roman"/>
              </w:rPr>
              <w:t>2012</w:t>
            </w:r>
          </w:p>
        </w:tc>
      </w:tr>
      <w:tr w:rsidR="00E97595"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E97595" w:rsidRPr="008D6141" w:rsidRDefault="00E97595" w:rsidP="00E97595">
            <w:pPr>
              <w:rPr>
                <w:rFonts w:eastAsia="Times New Roman"/>
              </w:rPr>
            </w:pPr>
            <w:r w:rsidRPr="008D6141">
              <w:rPr>
                <w:rFonts w:eastAsia="Times New Roman"/>
              </w:rPr>
              <w:t>Youth Chewing Tobacco Use-30-Day</w:t>
            </w:r>
          </w:p>
        </w:tc>
        <w:tc>
          <w:tcPr>
            <w:tcW w:w="1854" w:type="pct"/>
            <w:noWrap/>
            <w:hideMark/>
          </w:tcPr>
          <w:p w:rsidR="00E97595" w:rsidRPr="008D6141" w:rsidRDefault="00E97595" w:rsidP="00E97595">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noWrap/>
            <w:hideMark/>
          </w:tcPr>
          <w:p w:rsidR="00E97595" w:rsidRDefault="00E97595" w:rsidP="00E97595">
            <w:pPr>
              <w:cnfStyle w:val="000000000000" w:firstRow="0" w:lastRow="0" w:firstColumn="0" w:lastColumn="0" w:oddVBand="0" w:evenVBand="0" w:oddHBand="0" w:evenHBand="0" w:firstRowFirstColumn="0" w:firstRowLastColumn="0" w:lastRowFirstColumn="0" w:lastRowLastColumn="0"/>
            </w:pPr>
            <w:r w:rsidRPr="00E844A8">
              <w:rPr>
                <w:rFonts w:eastAsia="Times New Roman"/>
              </w:rPr>
              <w:t>2012</w:t>
            </w:r>
          </w:p>
        </w:tc>
      </w:tr>
      <w:tr w:rsidR="00E97595"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E97595" w:rsidRPr="008D6141" w:rsidRDefault="00E97595" w:rsidP="00E97595">
            <w:pPr>
              <w:rPr>
                <w:rFonts w:eastAsia="Times New Roman"/>
              </w:rPr>
            </w:pPr>
            <w:r w:rsidRPr="008D6141">
              <w:rPr>
                <w:rFonts w:eastAsia="Times New Roman"/>
              </w:rPr>
              <w:t>Youth Chewing Tobacco-Lifetime</w:t>
            </w:r>
          </w:p>
        </w:tc>
        <w:tc>
          <w:tcPr>
            <w:tcW w:w="1854" w:type="pct"/>
            <w:tcBorders>
              <w:top w:val="none" w:sz="0" w:space="0" w:color="auto"/>
              <w:bottom w:val="none" w:sz="0" w:space="0" w:color="auto"/>
            </w:tcBorders>
            <w:noWrap/>
            <w:hideMark/>
          </w:tcPr>
          <w:p w:rsidR="00E97595" w:rsidRPr="008D6141" w:rsidRDefault="00E97595" w:rsidP="00E97595">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tcBorders>
              <w:top w:val="none" w:sz="0" w:space="0" w:color="auto"/>
              <w:bottom w:val="none" w:sz="0" w:space="0" w:color="auto"/>
              <w:right w:val="none" w:sz="0" w:space="0" w:color="auto"/>
            </w:tcBorders>
            <w:noWrap/>
            <w:hideMark/>
          </w:tcPr>
          <w:p w:rsidR="00E97595" w:rsidRDefault="00E97595" w:rsidP="00E97595">
            <w:pPr>
              <w:cnfStyle w:val="000000100000" w:firstRow="0" w:lastRow="0" w:firstColumn="0" w:lastColumn="0" w:oddVBand="0" w:evenVBand="0" w:oddHBand="1" w:evenHBand="0" w:firstRowFirstColumn="0" w:firstRowLastColumn="0" w:lastRowFirstColumn="0" w:lastRowLastColumn="0"/>
            </w:pPr>
            <w:r w:rsidRPr="00E844A8">
              <w:rPr>
                <w:rFonts w:eastAsia="Times New Roman"/>
              </w:rPr>
              <w:t>2012</w:t>
            </w:r>
          </w:p>
        </w:tc>
      </w:tr>
      <w:tr w:rsidR="00E97595"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E97595" w:rsidRPr="008D6141" w:rsidRDefault="00E97595" w:rsidP="00E97595">
            <w:pPr>
              <w:rPr>
                <w:rFonts w:eastAsia="Times New Roman"/>
              </w:rPr>
            </w:pPr>
            <w:r w:rsidRPr="008D6141">
              <w:rPr>
                <w:rFonts w:eastAsia="Times New Roman"/>
              </w:rPr>
              <w:t>Youth Cigarette Use-30-Day</w:t>
            </w:r>
          </w:p>
        </w:tc>
        <w:tc>
          <w:tcPr>
            <w:tcW w:w="1854" w:type="pct"/>
            <w:noWrap/>
            <w:hideMark/>
          </w:tcPr>
          <w:p w:rsidR="00E97595" w:rsidRPr="008D6141" w:rsidRDefault="00E97595" w:rsidP="00E97595">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noWrap/>
            <w:hideMark/>
          </w:tcPr>
          <w:p w:rsidR="00E97595" w:rsidRDefault="00E97595" w:rsidP="00E97595">
            <w:pPr>
              <w:cnfStyle w:val="000000000000" w:firstRow="0" w:lastRow="0" w:firstColumn="0" w:lastColumn="0" w:oddVBand="0" w:evenVBand="0" w:oddHBand="0" w:evenHBand="0" w:firstRowFirstColumn="0" w:firstRowLastColumn="0" w:lastRowFirstColumn="0" w:lastRowLastColumn="0"/>
            </w:pPr>
            <w:r w:rsidRPr="00E844A8">
              <w:rPr>
                <w:rFonts w:eastAsia="Times New Roman"/>
              </w:rPr>
              <w:t>2012</w:t>
            </w:r>
          </w:p>
        </w:tc>
      </w:tr>
      <w:tr w:rsidR="00E97595"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E97595" w:rsidRPr="008D6141" w:rsidRDefault="00E97595" w:rsidP="00E97595">
            <w:pPr>
              <w:rPr>
                <w:rFonts w:eastAsia="Times New Roman"/>
              </w:rPr>
            </w:pPr>
            <w:r w:rsidRPr="008D6141">
              <w:rPr>
                <w:rFonts w:eastAsia="Times New Roman"/>
              </w:rPr>
              <w:t>Youth Cigarette Use-Lifetime</w:t>
            </w:r>
          </w:p>
        </w:tc>
        <w:tc>
          <w:tcPr>
            <w:tcW w:w="1854" w:type="pct"/>
            <w:tcBorders>
              <w:top w:val="none" w:sz="0" w:space="0" w:color="auto"/>
              <w:bottom w:val="none" w:sz="0" w:space="0" w:color="auto"/>
            </w:tcBorders>
            <w:noWrap/>
            <w:hideMark/>
          </w:tcPr>
          <w:p w:rsidR="00E97595" w:rsidRPr="008D6141" w:rsidRDefault="00E97595" w:rsidP="00E97595">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tcBorders>
              <w:top w:val="none" w:sz="0" w:space="0" w:color="auto"/>
              <w:bottom w:val="none" w:sz="0" w:space="0" w:color="auto"/>
              <w:right w:val="none" w:sz="0" w:space="0" w:color="auto"/>
            </w:tcBorders>
            <w:noWrap/>
            <w:hideMark/>
          </w:tcPr>
          <w:p w:rsidR="00E97595" w:rsidRDefault="00E97595" w:rsidP="00E97595">
            <w:pPr>
              <w:cnfStyle w:val="000000100000" w:firstRow="0" w:lastRow="0" w:firstColumn="0" w:lastColumn="0" w:oddVBand="0" w:evenVBand="0" w:oddHBand="1" w:evenHBand="0" w:firstRowFirstColumn="0" w:firstRowLastColumn="0" w:lastRowFirstColumn="0" w:lastRowLastColumn="0"/>
            </w:pPr>
            <w:r w:rsidRPr="00E844A8">
              <w:rPr>
                <w:rFonts w:eastAsia="Times New Roman"/>
              </w:rPr>
              <w:t>2012</w:t>
            </w:r>
          </w:p>
        </w:tc>
      </w:tr>
      <w:tr w:rsidR="00E97595"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E97595" w:rsidRPr="008D6141" w:rsidRDefault="00E97595" w:rsidP="00E97595">
            <w:pPr>
              <w:rPr>
                <w:rFonts w:eastAsia="Times New Roman"/>
              </w:rPr>
            </w:pPr>
            <w:r w:rsidRPr="008D6141">
              <w:rPr>
                <w:rFonts w:eastAsia="Times New Roman"/>
              </w:rPr>
              <w:t>Youth Cocaine Use-30-Day</w:t>
            </w:r>
          </w:p>
        </w:tc>
        <w:tc>
          <w:tcPr>
            <w:tcW w:w="1854" w:type="pct"/>
            <w:noWrap/>
            <w:hideMark/>
          </w:tcPr>
          <w:p w:rsidR="00E97595" w:rsidRPr="008D6141" w:rsidRDefault="00E97595" w:rsidP="00E97595">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noWrap/>
            <w:hideMark/>
          </w:tcPr>
          <w:p w:rsidR="00E97595" w:rsidRDefault="00E97595" w:rsidP="00E97595">
            <w:pPr>
              <w:cnfStyle w:val="000000000000" w:firstRow="0" w:lastRow="0" w:firstColumn="0" w:lastColumn="0" w:oddVBand="0" w:evenVBand="0" w:oddHBand="0" w:evenHBand="0" w:firstRowFirstColumn="0" w:firstRowLastColumn="0" w:lastRowFirstColumn="0" w:lastRowLastColumn="0"/>
            </w:pPr>
            <w:r w:rsidRPr="00E844A8">
              <w:rPr>
                <w:rFonts w:eastAsia="Times New Roman"/>
              </w:rPr>
              <w:t>2012</w:t>
            </w:r>
          </w:p>
        </w:tc>
      </w:tr>
      <w:tr w:rsidR="00E97595"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E97595" w:rsidRPr="008D6141" w:rsidRDefault="00E97595" w:rsidP="00E97595">
            <w:pPr>
              <w:rPr>
                <w:rFonts w:eastAsia="Times New Roman"/>
              </w:rPr>
            </w:pPr>
            <w:r w:rsidRPr="008D6141">
              <w:rPr>
                <w:rFonts w:eastAsia="Times New Roman"/>
              </w:rPr>
              <w:lastRenderedPageBreak/>
              <w:t>Youth Cocaine Use-Lifetime</w:t>
            </w:r>
          </w:p>
        </w:tc>
        <w:tc>
          <w:tcPr>
            <w:tcW w:w="1854" w:type="pct"/>
            <w:tcBorders>
              <w:top w:val="none" w:sz="0" w:space="0" w:color="auto"/>
              <w:bottom w:val="none" w:sz="0" w:space="0" w:color="auto"/>
            </w:tcBorders>
            <w:noWrap/>
            <w:hideMark/>
          </w:tcPr>
          <w:p w:rsidR="00E97595" w:rsidRPr="008D6141" w:rsidRDefault="00E97595" w:rsidP="00E97595">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tcBorders>
              <w:top w:val="none" w:sz="0" w:space="0" w:color="auto"/>
              <w:bottom w:val="none" w:sz="0" w:space="0" w:color="auto"/>
              <w:right w:val="none" w:sz="0" w:space="0" w:color="auto"/>
            </w:tcBorders>
            <w:noWrap/>
            <w:hideMark/>
          </w:tcPr>
          <w:p w:rsidR="00E97595" w:rsidRDefault="00E97595" w:rsidP="00E97595">
            <w:pPr>
              <w:cnfStyle w:val="000000100000" w:firstRow="0" w:lastRow="0" w:firstColumn="0" w:lastColumn="0" w:oddVBand="0" w:evenVBand="0" w:oddHBand="1" w:evenHBand="0" w:firstRowFirstColumn="0" w:firstRowLastColumn="0" w:lastRowFirstColumn="0" w:lastRowLastColumn="0"/>
            </w:pPr>
            <w:r w:rsidRPr="00E844A8">
              <w:rPr>
                <w:rFonts w:eastAsia="Times New Roman"/>
              </w:rPr>
              <w:t>2012</w:t>
            </w:r>
          </w:p>
        </w:tc>
      </w:tr>
      <w:tr w:rsidR="00E97595"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E97595" w:rsidRPr="008D6141" w:rsidRDefault="00E97595" w:rsidP="00E97595">
            <w:pPr>
              <w:rPr>
                <w:rFonts w:eastAsia="Times New Roman"/>
              </w:rPr>
            </w:pPr>
            <w:r w:rsidRPr="008D6141">
              <w:rPr>
                <w:rFonts w:eastAsia="Times New Roman"/>
              </w:rPr>
              <w:t>Youth Depressive Symptoms</w:t>
            </w:r>
          </w:p>
        </w:tc>
        <w:tc>
          <w:tcPr>
            <w:tcW w:w="1854" w:type="pct"/>
            <w:noWrap/>
            <w:hideMark/>
          </w:tcPr>
          <w:p w:rsidR="00E97595" w:rsidRPr="008D6141" w:rsidRDefault="00E97595" w:rsidP="00E97595">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noWrap/>
            <w:hideMark/>
          </w:tcPr>
          <w:p w:rsidR="00E97595" w:rsidRDefault="00E97595" w:rsidP="00E97595">
            <w:pPr>
              <w:cnfStyle w:val="000000000000" w:firstRow="0" w:lastRow="0" w:firstColumn="0" w:lastColumn="0" w:oddVBand="0" w:evenVBand="0" w:oddHBand="0" w:evenHBand="0" w:firstRowFirstColumn="0" w:firstRowLastColumn="0" w:lastRowFirstColumn="0" w:lastRowLastColumn="0"/>
            </w:pPr>
            <w:r w:rsidRPr="00E844A8">
              <w:rPr>
                <w:rFonts w:eastAsia="Times New Roman"/>
              </w:rPr>
              <w:t>2012</w:t>
            </w:r>
          </w:p>
        </w:tc>
      </w:tr>
      <w:tr w:rsidR="00E97595"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E97595" w:rsidRPr="008D6141" w:rsidRDefault="00E97595" w:rsidP="00E97595">
            <w:pPr>
              <w:rPr>
                <w:rFonts w:eastAsia="Times New Roman"/>
              </w:rPr>
            </w:pPr>
            <w:r w:rsidRPr="008D6141">
              <w:rPr>
                <w:rFonts w:eastAsia="Times New Roman"/>
              </w:rPr>
              <w:t>Youth Driving After Drinking</w:t>
            </w:r>
          </w:p>
        </w:tc>
        <w:tc>
          <w:tcPr>
            <w:tcW w:w="1854" w:type="pct"/>
            <w:tcBorders>
              <w:top w:val="none" w:sz="0" w:space="0" w:color="auto"/>
              <w:bottom w:val="none" w:sz="0" w:space="0" w:color="auto"/>
            </w:tcBorders>
            <w:noWrap/>
            <w:hideMark/>
          </w:tcPr>
          <w:p w:rsidR="00E97595" w:rsidRPr="008D6141" w:rsidRDefault="00E97595" w:rsidP="00E97595">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tcBorders>
              <w:top w:val="none" w:sz="0" w:space="0" w:color="auto"/>
              <w:bottom w:val="none" w:sz="0" w:space="0" w:color="auto"/>
              <w:right w:val="none" w:sz="0" w:space="0" w:color="auto"/>
            </w:tcBorders>
            <w:noWrap/>
            <w:hideMark/>
          </w:tcPr>
          <w:p w:rsidR="00E97595" w:rsidRDefault="00E97595" w:rsidP="00E97595">
            <w:pPr>
              <w:cnfStyle w:val="000000100000" w:firstRow="0" w:lastRow="0" w:firstColumn="0" w:lastColumn="0" w:oddVBand="0" w:evenVBand="0" w:oddHBand="1" w:evenHBand="0" w:firstRowFirstColumn="0" w:firstRowLastColumn="0" w:lastRowFirstColumn="0" w:lastRowLastColumn="0"/>
            </w:pPr>
            <w:r w:rsidRPr="00E844A8">
              <w:rPr>
                <w:rFonts w:eastAsia="Times New Roman"/>
              </w:rPr>
              <w:t>2012</w:t>
            </w:r>
          </w:p>
        </w:tc>
      </w:tr>
      <w:tr w:rsidR="00E97595"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E97595" w:rsidRPr="008D6141" w:rsidRDefault="00E97595" w:rsidP="00E97595">
            <w:pPr>
              <w:rPr>
                <w:rFonts w:eastAsia="Times New Roman"/>
              </w:rPr>
            </w:pPr>
            <w:r w:rsidRPr="008D6141">
              <w:rPr>
                <w:rFonts w:eastAsia="Times New Roman"/>
              </w:rPr>
              <w:t>Youth Drunk Or High At School</w:t>
            </w:r>
          </w:p>
        </w:tc>
        <w:tc>
          <w:tcPr>
            <w:tcW w:w="1854" w:type="pct"/>
            <w:noWrap/>
            <w:hideMark/>
          </w:tcPr>
          <w:p w:rsidR="00E97595" w:rsidRPr="008D6141" w:rsidRDefault="00E97595" w:rsidP="00E97595">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noWrap/>
            <w:hideMark/>
          </w:tcPr>
          <w:p w:rsidR="00E97595" w:rsidRDefault="00E97595" w:rsidP="00E97595">
            <w:pPr>
              <w:cnfStyle w:val="000000000000" w:firstRow="0" w:lastRow="0" w:firstColumn="0" w:lastColumn="0" w:oddVBand="0" w:evenVBand="0" w:oddHBand="0" w:evenHBand="0" w:firstRowFirstColumn="0" w:firstRowLastColumn="0" w:lastRowFirstColumn="0" w:lastRowLastColumn="0"/>
            </w:pPr>
            <w:r w:rsidRPr="00E844A8">
              <w:rPr>
                <w:rFonts w:eastAsia="Times New Roman"/>
              </w:rPr>
              <w:t>2012</w:t>
            </w:r>
          </w:p>
        </w:tc>
      </w:tr>
      <w:tr w:rsidR="00E97595"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E97595" w:rsidRPr="008D6141" w:rsidRDefault="00E97595" w:rsidP="00E97595">
            <w:pPr>
              <w:rPr>
                <w:rFonts w:eastAsia="Times New Roman"/>
              </w:rPr>
            </w:pPr>
            <w:r w:rsidRPr="008D6141">
              <w:rPr>
                <w:rFonts w:eastAsia="Times New Roman"/>
              </w:rPr>
              <w:t>Youth Ecstasy Use-30-Day</w:t>
            </w:r>
          </w:p>
        </w:tc>
        <w:tc>
          <w:tcPr>
            <w:tcW w:w="1854" w:type="pct"/>
            <w:tcBorders>
              <w:top w:val="none" w:sz="0" w:space="0" w:color="auto"/>
              <w:bottom w:val="none" w:sz="0" w:space="0" w:color="auto"/>
            </w:tcBorders>
            <w:noWrap/>
            <w:hideMark/>
          </w:tcPr>
          <w:p w:rsidR="00E97595" w:rsidRPr="008D6141" w:rsidRDefault="00E97595" w:rsidP="00E97595">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tcBorders>
              <w:top w:val="none" w:sz="0" w:space="0" w:color="auto"/>
              <w:bottom w:val="none" w:sz="0" w:space="0" w:color="auto"/>
              <w:right w:val="none" w:sz="0" w:space="0" w:color="auto"/>
            </w:tcBorders>
            <w:noWrap/>
            <w:hideMark/>
          </w:tcPr>
          <w:p w:rsidR="00E97595" w:rsidRDefault="00E97595" w:rsidP="00E97595">
            <w:pPr>
              <w:cnfStyle w:val="000000100000" w:firstRow="0" w:lastRow="0" w:firstColumn="0" w:lastColumn="0" w:oddVBand="0" w:evenVBand="0" w:oddHBand="1" w:evenHBand="0" w:firstRowFirstColumn="0" w:firstRowLastColumn="0" w:lastRowFirstColumn="0" w:lastRowLastColumn="0"/>
            </w:pPr>
            <w:r w:rsidRPr="00E844A8">
              <w:rPr>
                <w:rFonts w:eastAsia="Times New Roman"/>
              </w:rPr>
              <w:t>2012</w:t>
            </w:r>
          </w:p>
        </w:tc>
      </w:tr>
      <w:tr w:rsidR="00E97595"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E97595" w:rsidRPr="008D6141" w:rsidRDefault="00E97595" w:rsidP="00E97595">
            <w:pPr>
              <w:rPr>
                <w:rFonts w:eastAsia="Times New Roman"/>
              </w:rPr>
            </w:pPr>
            <w:r w:rsidRPr="008D6141">
              <w:rPr>
                <w:rFonts w:eastAsia="Times New Roman"/>
              </w:rPr>
              <w:t>Youth Ecstasy Use-Lifetime</w:t>
            </w:r>
          </w:p>
        </w:tc>
        <w:tc>
          <w:tcPr>
            <w:tcW w:w="1854" w:type="pct"/>
            <w:noWrap/>
            <w:hideMark/>
          </w:tcPr>
          <w:p w:rsidR="00E97595" w:rsidRPr="008D6141" w:rsidRDefault="00E97595" w:rsidP="00E97595">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noWrap/>
            <w:hideMark/>
          </w:tcPr>
          <w:p w:rsidR="00E97595" w:rsidRDefault="00E97595" w:rsidP="00E97595">
            <w:pPr>
              <w:cnfStyle w:val="000000000000" w:firstRow="0" w:lastRow="0" w:firstColumn="0" w:lastColumn="0" w:oddVBand="0" w:evenVBand="0" w:oddHBand="0" w:evenHBand="0" w:firstRowFirstColumn="0" w:firstRowLastColumn="0" w:lastRowFirstColumn="0" w:lastRowLastColumn="0"/>
            </w:pPr>
            <w:r w:rsidRPr="00E844A8">
              <w:rPr>
                <w:rFonts w:eastAsia="Times New Roman"/>
              </w:rPr>
              <w:t>2012</w:t>
            </w:r>
          </w:p>
        </w:tc>
      </w:tr>
      <w:tr w:rsidR="00E97595"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E97595" w:rsidRPr="008D6141" w:rsidRDefault="00E97595" w:rsidP="00E97595">
            <w:pPr>
              <w:rPr>
                <w:rFonts w:eastAsia="Times New Roman"/>
              </w:rPr>
            </w:pPr>
            <w:r w:rsidRPr="008D6141">
              <w:rPr>
                <w:rFonts w:eastAsia="Times New Roman"/>
              </w:rPr>
              <w:t>Youth Gang Involvement</w:t>
            </w:r>
          </w:p>
        </w:tc>
        <w:tc>
          <w:tcPr>
            <w:tcW w:w="1854" w:type="pct"/>
            <w:tcBorders>
              <w:top w:val="none" w:sz="0" w:space="0" w:color="auto"/>
              <w:bottom w:val="none" w:sz="0" w:space="0" w:color="auto"/>
            </w:tcBorders>
            <w:noWrap/>
            <w:hideMark/>
          </w:tcPr>
          <w:p w:rsidR="00E97595" w:rsidRPr="008D6141" w:rsidRDefault="00E97595" w:rsidP="00E97595">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tcBorders>
              <w:top w:val="none" w:sz="0" w:space="0" w:color="auto"/>
              <w:bottom w:val="none" w:sz="0" w:space="0" w:color="auto"/>
              <w:right w:val="none" w:sz="0" w:space="0" w:color="auto"/>
            </w:tcBorders>
            <w:noWrap/>
            <w:hideMark/>
          </w:tcPr>
          <w:p w:rsidR="00E97595" w:rsidRDefault="00E97595" w:rsidP="00E97595">
            <w:pPr>
              <w:cnfStyle w:val="000000100000" w:firstRow="0" w:lastRow="0" w:firstColumn="0" w:lastColumn="0" w:oddVBand="0" w:evenVBand="0" w:oddHBand="1" w:evenHBand="0" w:firstRowFirstColumn="0" w:firstRowLastColumn="0" w:lastRowFirstColumn="0" w:lastRowLastColumn="0"/>
            </w:pPr>
            <w:r w:rsidRPr="00E844A8">
              <w:rPr>
                <w:rFonts w:eastAsia="Times New Roman"/>
              </w:rPr>
              <w:t>2012</w:t>
            </w:r>
          </w:p>
        </w:tc>
      </w:tr>
      <w:tr w:rsidR="00E97595"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E97595" w:rsidRPr="008D6141" w:rsidRDefault="00E97595" w:rsidP="00E97595">
            <w:pPr>
              <w:rPr>
                <w:rFonts w:eastAsia="Times New Roman"/>
              </w:rPr>
            </w:pPr>
            <w:r w:rsidRPr="008D6141">
              <w:rPr>
                <w:rFonts w:eastAsia="Times New Roman"/>
              </w:rPr>
              <w:t>Youth Hallucinogen Use-30-Day</w:t>
            </w:r>
          </w:p>
        </w:tc>
        <w:tc>
          <w:tcPr>
            <w:tcW w:w="1854" w:type="pct"/>
            <w:noWrap/>
            <w:hideMark/>
          </w:tcPr>
          <w:p w:rsidR="00E97595" w:rsidRPr="008D6141" w:rsidRDefault="00E97595" w:rsidP="00E97595">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noWrap/>
            <w:hideMark/>
          </w:tcPr>
          <w:p w:rsidR="00E97595" w:rsidRDefault="00E97595" w:rsidP="00E97595">
            <w:pPr>
              <w:cnfStyle w:val="000000000000" w:firstRow="0" w:lastRow="0" w:firstColumn="0" w:lastColumn="0" w:oddVBand="0" w:evenVBand="0" w:oddHBand="0" w:evenHBand="0" w:firstRowFirstColumn="0" w:firstRowLastColumn="0" w:lastRowFirstColumn="0" w:lastRowLastColumn="0"/>
            </w:pPr>
            <w:r w:rsidRPr="00E844A8">
              <w:rPr>
                <w:rFonts w:eastAsia="Times New Roman"/>
              </w:rPr>
              <w:t>2012</w:t>
            </w:r>
          </w:p>
        </w:tc>
      </w:tr>
      <w:tr w:rsidR="00E97595"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E97595" w:rsidRPr="008D6141" w:rsidRDefault="00E97595" w:rsidP="00E97595">
            <w:pPr>
              <w:rPr>
                <w:rFonts w:eastAsia="Times New Roman"/>
              </w:rPr>
            </w:pPr>
            <w:r w:rsidRPr="008D6141">
              <w:rPr>
                <w:rFonts w:eastAsia="Times New Roman"/>
              </w:rPr>
              <w:t>Youth Hallucinogen Use-Lifetime</w:t>
            </w:r>
          </w:p>
        </w:tc>
        <w:tc>
          <w:tcPr>
            <w:tcW w:w="1854" w:type="pct"/>
            <w:tcBorders>
              <w:top w:val="none" w:sz="0" w:space="0" w:color="auto"/>
              <w:bottom w:val="none" w:sz="0" w:space="0" w:color="auto"/>
            </w:tcBorders>
            <w:noWrap/>
            <w:hideMark/>
          </w:tcPr>
          <w:p w:rsidR="00E97595" w:rsidRPr="008D6141" w:rsidRDefault="00E97595" w:rsidP="00E97595">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tcBorders>
              <w:top w:val="none" w:sz="0" w:space="0" w:color="auto"/>
              <w:bottom w:val="none" w:sz="0" w:space="0" w:color="auto"/>
              <w:right w:val="none" w:sz="0" w:space="0" w:color="auto"/>
            </w:tcBorders>
            <w:noWrap/>
            <w:hideMark/>
          </w:tcPr>
          <w:p w:rsidR="00E97595" w:rsidRDefault="00E97595" w:rsidP="00E97595">
            <w:pPr>
              <w:cnfStyle w:val="000000100000" w:firstRow="0" w:lastRow="0" w:firstColumn="0" w:lastColumn="0" w:oddVBand="0" w:evenVBand="0" w:oddHBand="1" w:evenHBand="0" w:firstRowFirstColumn="0" w:firstRowLastColumn="0" w:lastRowFirstColumn="0" w:lastRowLastColumn="0"/>
            </w:pPr>
            <w:r w:rsidRPr="00E844A8">
              <w:rPr>
                <w:rFonts w:eastAsia="Times New Roman"/>
              </w:rPr>
              <w:t>2012</w:t>
            </w:r>
          </w:p>
        </w:tc>
      </w:tr>
      <w:tr w:rsidR="00E97595"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E97595" w:rsidRPr="008D6141" w:rsidRDefault="00E97595" w:rsidP="00E97595">
            <w:pPr>
              <w:rPr>
                <w:rFonts w:eastAsia="Times New Roman"/>
              </w:rPr>
            </w:pPr>
            <w:r w:rsidRPr="008D6141">
              <w:rPr>
                <w:rFonts w:eastAsia="Times New Roman"/>
              </w:rPr>
              <w:t>Youth Handgun To School</w:t>
            </w:r>
          </w:p>
        </w:tc>
        <w:tc>
          <w:tcPr>
            <w:tcW w:w="1854" w:type="pct"/>
            <w:noWrap/>
            <w:hideMark/>
          </w:tcPr>
          <w:p w:rsidR="00E97595" w:rsidRPr="008D6141" w:rsidRDefault="00E97595" w:rsidP="00E97595">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noWrap/>
            <w:hideMark/>
          </w:tcPr>
          <w:p w:rsidR="00E97595" w:rsidRDefault="00E97595" w:rsidP="00E97595">
            <w:pPr>
              <w:cnfStyle w:val="000000000000" w:firstRow="0" w:lastRow="0" w:firstColumn="0" w:lastColumn="0" w:oddVBand="0" w:evenVBand="0" w:oddHBand="0" w:evenHBand="0" w:firstRowFirstColumn="0" w:firstRowLastColumn="0" w:lastRowFirstColumn="0" w:lastRowLastColumn="0"/>
            </w:pPr>
            <w:r w:rsidRPr="00E844A8">
              <w:rPr>
                <w:rFonts w:eastAsia="Times New Roman"/>
              </w:rPr>
              <w:t>2012</w:t>
            </w:r>
          </w:p>
        </w:tc>
      </w:tr>
      <w:tr w:rsidR="00E97595"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E97595" w:rsidRPr="008D6141" w:rsidRDefault="00E97595" w:rsidP="00E97595">
            <w:pPr>
              <w:rPr>
                <w:rFonts w:eastAsia="Times New Roman"/>
              </w:rPr>
            </w:pPr>
            <w:r w:rsidRPr="008D6141">
              <w:rPr>
                <w:rFonts w:eastAsia="Times New Roman"/>
              </w:rPr>
              <w:t>Youth Heavy Cigarette Use</w:t>
            </w:r>
          </w:p>
        </w:tc>
        <w:tc>
          <w:tcPr>
            <w:tcW w:w="1854" w:type="pct"/>
            <w:tcBorders>
              <w:top w:val="none" w:sz="0" w:space="0" w:color="auto"/>
              <w:bottom w:val="none" w:sz="0" w:space="0" w:color="auto"/>
            </w:tcBorders>
            <w:noWrap/>
            <w:hideMark/>
          </w:tcPr>
          <w:p w:rsidR="00E97595" w:rsidRPr="008D6141" w:rsidRDefault="00E97595" w:rsidP="00E97595">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tcBorders>
              <w:top w:val="none" w:sz="0" w:space="0" w:color="auto"/>
              <w:bottom w:val="none" w:sz="0" w:space="0" w:color="auto"/>
              <w:right w:val="none" w:sz="0" w:space="0" w:color="auto"/>
            </w:tcBorders>
            <w:noWrap/>
            <w:hideMark/>
          </w:tcPr>
          <w:p w:rsidR="00E97595" w:rsidRDefault="00E97595" w:rsidP="00E97595">
            <w:pPr>
              <w:cnfStyle w:val="000000100000" w:firstRow="0" w:lastRow="0" w:firstColumn="0" w:lastColumn="0" w:oddVBand="0" w:evenVBand="0" w:oddHBand="1" w:evenHBand="0" w:firstRowFirstColumn="0" w:firstRowLastColumn="0" w:lastRowFirstColumn="0" w:lastRowLastColumn="0"/>
            </w:pPr>
            <w:r w:rsidRPr="00E844A8">
              <w:rPr>
                <w:rFonts w:eastAsia="Times New Roman"/>
              </w:rPr>
              <w:t>2012</w:t>
            </w:r>
          </w:p>
        </w:tc>
      </w:tr>
      <w:tr w:rsidR="00E97595"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E97595" w:rsidRPr="008D6141" w:rsidRDefault="00E97595" w:rsidP="00E97595">
            <w:pPr>
              <w:rPr>
                <w:rFonts w:eastAsia="Times New Roman"/>
              </w:rPr>
            </w:pPr>
            <w:r w:rsidRPr="008D6141">
              <w:rPr>
                <w:rFonts w:eastAsia="Times New Roman"/>
              </w:rPr>
              <w:t>Youth Heroin Use-30-Day</w:t>
            </w:r>
          </w:p>
        </w:tc>
        <w:tc>
          <w:tcPr>
            <w:tcW w:w="1854" w:type="pct"/>
            <w:noWrap/>
            <w:hideMark/>
          </w:tcPr>
          <w:p w:rsidR="00E97595" w:rsidRPr="008D6141" w:rsidRDefault="00E97595" w:rsidP="00E97595">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noWrap/>
            <w:hideMark/>
          </w:tcPr>
          <w:p w:rsidR="00E97595" w:rsidRDefault="00E97595" w:rsidP="00E97595">
            <w:pPr>
              <w:cnfStyle w:val="000000000000" w:firstRow="0" w:lastRow="0" w:firstColumn="0" w:lastColumn="0" w:oddVBand="0" w:evenVBand="0" w:oddHBand="0" w:evenHBand="0" w:firstRowFirstColumn="0" w:firstRowLastColumn="0" w:lastRowFirstColumn="0" w:lastRowLastColumn="0"/>
            </w:pPr>
            <w:r w:rsidRPr="00E844A8">
              <w:rPr>
                <w:rFonts w:eastAsia="Times New Roman"/>
              </w:rPr>
              <w:t>2012</w:t>
            </w:r>
          </w:p>
        </w:tc>
      </w:tr>
      <w:tr w:rsidR="00E97595"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E97595" w:rsidRPr="008D6141" w:rsidRDefault="00E97595" w:rsidP="00E97595">
            <w:pPr>
              <w:rPr>
                <w:rFonts w:eastAsia="Times New Roman"/>
              </w:rPr>
            </w:pPr>
            <w:r w:rsidRPr="008D6141">
              <w:rPr>
                <w:rFonts w:eastAsia="Times New Roman"/>
              </w:rPr>
              <w:t>Youth Heroin Use-Lifetime</w:t>
            </w:r>
          </w:p>
        </w:tc>
        <w:tc>
          <w:tcPr>
            <w:tcW w:w="1854" w:type="pct"/>
            <w:tcBorders>
              <w:top w:val="none" w:sz="0" w:space="0" w:color="auto"/>
              <w:bottom w:val="none" w:sz="0" w:space="0" w:color="auto"/>
            </w:tcBorders>
            <w:noWrap/>
            <w:hideMark/>
          </w:tcPr>
          <w:p w:rsidR="00E97595" w:rsidRPr="008D6141" w:rsidRDefault="00E97595" w:rsidP="00E97595">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tcBorders>
              <w:top w:val="none" w:sz="0" w:space="0" w:color="auto"/>
              <w:bottom w:val="none" w:sz="0" w:space="0" w:color="auto"/>
              <w:right w:val="none" w:sz="0" w:space="0" w:color="auto"/>
            </w:tcBorders>
            <w:noWrap/>
            <w:hideMark/>
          </w:tcPr>
          <w:p w:rsidR="00E97595" w:rsidRDefault="00E97595" w:rsidP="00E97595">
            <w:pPr>
              <w:cnfStyle w:val="000000100000" w:firstRow="0" w:lastRow="0" w:firstColumn="0" w:lastColumn="0" w:oddVBand="0" w:evenVBand="0" w:oddHBand="1" w:evenHBand="0" w:firstRowFirstColumn="0" w:firstRowLastColumn="0" w:lastRowFirstColumn="0" w:lastRowLastColumn="0"/>
            </w:pPr>
            <w:r w:rsidRPr="00E844A8">
              <w:rPr>
                <w:rFonts w:eastAsia="Times New Roman"/>
              </w:rPr>
              <w:t>2012</w:t>
            </w:r>
          </w:p>
        </w:tc>
      </w:tr>
      <w:tr w:rsidR="00E97595"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E97595" w:rsidRPr="008D6141" w:rsidRDefault="00E97595" w:rsidP="00E97595">
            <w:pPr>
              <w:rPr>
                <w:rFonts w:eastAsia="Times New Roman"/>
              </w:rPr>
            </w:pPr>
            <w:r w:rsidRPr="008D6141">
              <w:rPr>
                <w:rFonts w:eastAsia="Times New Roman"/>
              </w:rPr>
              <w:t>Youth Inhalant Use-30-Day</w:t>
            </w:r>
          </w:p>
        </w:tc>
        <w:tc>
          <w:tcPr>
            <w:tcW w:w="1854" w:type="pct"/>
            <w:noWrap/>
            <w:hideMark/>
          </w:tcPr>
          <w:p w:rsidR="00E97595" w:rsidRPr="008D6141" w:rsidRDefault="00E97595" w:rsidP="00E97595">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noWrap/>
            <w:hideMark/>
          </w:tcPr>
          <w:p w:rsidR="00E97595" w:rsidRDefault="00E97595" w:rsidP="00E97595">
            <w:pPr>
              <w:cnfStyle w:val="000000000000" w:firstRow="0" w:lastRow="0" w:firstColumn="0" w:lastColumn="0" w:oddVBand="0" w:evenVBand="0" w:oddHBand="0" w:evenHBand="0" w:firstRowFirstColumn="0" w:firstRowLastColumn="0" w:lastRowFirstColumn="0" w:lastRowLastColumn="0"/>
            </w:pPr>
            <w:r w:rsidRPr="00E844A8">
              <w:rPr>
                <w:rFonts w:eastAsia="Times New Roman"/>
              </w:rPr>
              <w:t>2012</w:t>
            </w:r>
          </w:p>
        </w:tc>
      </w:tr>
      <w:tr w:rsidR="00E97595"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E97595" w:rsidRPr="008D6141" w:rsidRDefault="00E97595" w:rsidP="00E97595">
            <w:pPr>
              <w:rPr>
                <w:rFonts w:eastAsia="Times New Roman"/>
              </w:rPr>
            </w:pPr>
            <w:r w:rsidRPr="008D6141">
              <w:rPr>
                <w:rFonts w:eastAsia="Times New Roman"/>
              </w:rPr>
              <w:t>Youth Inhalant Use-Lifetime</w:t>
            </w:r>
          </w:p>
        </w:tc>
        <w:tc>
          <w:tcPr>
            <w:tcW w:w="1854" w:type="pct"/>
            <w:tcBorders>
              <w:top w:val="none" w:sz="0" w:space="0" w:color="auto"/>
              <w:bottom w:val="none" w:sz="0" w:space="0" w:color="auto"/>
            </w:tcBorders>
            <w:noWrap/>
            <w:hideMark/>
          </w:tcPr>
          <w:p w:rsidR="00E97595" w:rsidRPr="008D6141" w:rsidRDefault="00E97595" w:rsidP="00E97595">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tcBorders>
              <w:top w:val="none" w:sz="0" w:space="0" w:color="auto"/>
              <w:bottom w:val="none" w:sz="0" w:space="0" w:color="auto"/>
              <w:right w:val="none" w:sz="0" w:space="0" w:color="auto"/>
            </w:tcBorders>
            <w:noWrap/>
            <w:hideMark/>
          </w:tcPr>
          <w:p w:rsidR="00E97595" w:rsidRDefault="00E97595" w:rsidP="00E97595">
            <w:pPr>
              <w:cnfStyle w:val="000000100000" w:firstRow="0" w:lastRow="0" w:firstColumn="0" w:lastColumn="0" w:oddVBand="0" w:evenVBand="0" w:oddHBand="1" w:evenHBand="0" w:firstRowFirstColumn="0" w:firstRowLastColumn="0" w:lastRowFirstColumn="0" w:lastRowLastColumn="0"/>
            </w:pPr>
            <w:r w:rsidRPr="00E844A8">
              <w:rPr>
                <w:rFonts w:eastAsia="Times New Roman"/>
              </w:rPr>
              <w:t>2012</w:t>
            </w:r>
          </w:p>
        </w:tc>
      </w:tr>
      <w:tr w:rsidR="00E97595"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E97595" w:rsidRPr="008D6141" w:rsidRDefault="00E97595" w:rsidP="00E97595">
            <w:pPr>
              <w:rPr>
                <w:rFonts w:eastAsia="Times New Roman"/>
              </w:rPr>
            </w:pPr>
            <w:r w:rsidRPr="008D6141">
              <w:rPr>
                <w:rFonts w:eastAsia="Times New Roman"/>
              </w:rPr>
              <w:t>Youth Marijuana Use-30-Day</w:t>
            </w:r>
          </w:p>
        </w:tc>
        <w:tc>
          <w:tcPr>
            <w:tcW w:w="1854" w:type="pct"/>
            <w:noWrap/>
            <w:hideMark/>
          </w:tcPr>
          <w:p w:rsidR="00E97595" w:rsidRPr="008D6141" w:rsidRDefault="00E97595" w:rsidP="00E97595">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noWrap/>
            <w:hideMark/>
          </w:tcPr>
          <w:p w:rsidR="00E97595" w:rsidRDefault="00E97595" w:rsidP="00E97595">
            <w:pPr>
              <w:cnfStyle w:val="000000000000" w:firstRow="0" w:lastRow="0" w:firstColumn="0" w:lastColumn="0" w:oddVBand="0" w:evenVBand="0" w:oddHBand="0" w:evenHBand="0" w:firstRowFirstColumn="0" w:firstRowLastColumn="0" w:lastRowFirstColumn="0" w:lastRowLastColumn="0"/>
            </w:pPr>
            <w:r w:rsidRPr="00E844A8">
              <w:rPr>
                <w:rFonts w:eastAsia="Times New Roman"/>
              </w:rPr>
              <w:t>2012</w:t>
            </w:r>
          </w:p>
        </w:tc>
      </w:tr>
      <w:tr w:rsidR="00E97595"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E97595" w:rsidRPr="008D6141" w:rsidRDefault="00E97595" w:rsidP="00E97595">
            <w:pPr>
              <w:rPr>
                <w:rFonts w:eastAsia="Times New Roman"/>
              </w:rPr>
            </w:pPr>
            <w:r w:rsidRPr="008D6141">
              <w:rPr>
                <w:rFonts w:eastAsia="Times New Roman"/>
              </w:rPr>
              <w:t>Youth Marijuana Use-Lifetime</w:t>
            </w:r>
          </w:p>
        </w:tc>
        <w:tc>
          <w:tcPr>
            <w:tcW w:w="1854" w:type="pct"/>
            <w:tcBorders>
              <w:top w:val="none" w:sz="0" w:space="0" w:color="auto"/>
              <w:bottom w:val="none" w:sz="0" w:space="0" w:color="auto"/>
            </w:tcBorders>
            <w:noWrap/>
            <w:hideMark/>
          </w:tcPr>
          <w:p w:rsidR="00E97595" w:rsidRPr="008D6141" w:rsidRDefault="00E97595" w:rsidP="00E97595">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tcBorders>
              <w:top w:val="none" w:sz="0" w:space="0" w:color="auto"/>
              <w:bottom w:val="none" w:sz="0" w:space="0" w:color="auto"/>
              <w:right w:val="none" w:sz="0" w:space="0" w:color="auto"/>
            </w:tcBorders>
            <w:noWrap/>
            <w:hideMark/>
          </w:tcPr>
          <w:p w:rsidR="00E97595" w:rsidRDefault="00E97595" w:rsidP="00E97595">
            <w:pPr>
              <w:cnfStyle w:val="000000100000" w:firstRow="0" w:lastRow="0" w:firstColumn="0" w:lastColumn="0" w:oddVBand="0" w:evenVBand="0" w:oddHBand="1" w:evenHBand="0" w:firstRowFirstColumn="0" w:firstRowLastColumn="0" w:lastRowFirstColumn="0" w:lastRowLastColumn="0"/>
            </w:pPr>
            <w:r w:rsidRPr="00E844A8">
              <w:rPr>
                <w:rFonts w:eastAsia="Times New Roman"/>
              </w:rPr>
              <w:t>2012</w:t>
            </w:r>
          </w:p>
        </w:tc>
      </w:tr>
      <w:tr w:rsidR="00E97595"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E97595" w:rsidRPr="008D6141" w:rsidRDefault="00E97595" w:rsidP="00E97595">
            <w:pPr>
              <w:rPr>
                <w:rFonts w:eastAsia="Times New Roman"/>
              </w:rPr>
            </w:pPr>
            <w:r w:rsidRPr="008D6141">
              <w:rPr>
                <w:rFonts w:eastAsia="Times New Roman"/>
              </w:rPr>
              <w:t>Youth Methamphetamine Use-30-Day</w:t>
            </w:r>
          </w:p>
        </w:tc>
        <w:tc>
          <w:tcPr>
            <w:tcW w:w="1854" w:type="pct"/>
            <w:noWrap/>
            <w:hideMark/>
          </w:tcPr>
          <w:p w:rsidR="00E97595" w:rsidRPr="008D6141" w:rsidRDefault="00E97595" w:rsidP="00E97595">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noWrap/>
            <w:hideMark/>
          </w:tcPr>
          <w:p w:rsidR="00E97595" w:rsidRDefault="00E97595" w:rsidP="00E97595">
            <w:pPr>
              <w:cnfStyle w:val="000000000000" w:firstRow="0" w:lastRow="0" w:firstColumn="0" w:lastColumn="0" w:oddVBand="0" w:evenVBand="0" w:oddHBand="0" w:evenHBand="0" w:firstRowFirstColumn="0" w:firstRowLastColumn="0" w:lastRowFirstColumn="0" w:lastRowLastColumn="0"/>
            </w:pPr>
            <w:r w:rsidRPr="00E844A8">
              <w:rPr>
                <w:rFonts w:eastAsia="Times New Roman"/>
              </w:rPr>
              <w:t>2012</w:t>
            </w:r>
          </w:p>
        </w:tc>
      </w:tr>
      <w:tr w:rsidR="00E97595"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E97595" w:rsidRPr="008D6141" w:rsidRDefault="00E97595" w:rsidP="00E97595">
            <w:pPr>
              <w:rPr>
                <w:rFonts w:eastAsia="Times New Roman"/>
              </w:rPr>
            </w:pPr>
            <w:r w:rsidRPr="008D6141">
              <w:rPr>
                <w:rFonts w:eastAsia="Times New Roman"/>
              </w:rPr>
              <w:t>Youth Methamphetamine Use-Lifetime</w:t>
            </w:r>
          </w:p>
        </w:tc>
        <w:tc>
          <w:tcPr>
            <w:tcW w:w="1854" w:type="pct"/>
            <w:tcBorders>
              <w:top w:val="none" w:sz="0" w:space="0" w:color="auto"/>
              <w:bottom w:val="none" w:sz="0" w:space="0" w:color="auto"/>
            </w:tcBorders>
            <w:noWrap/>
            <w:hideMark/>
          </w:tcPr>
          <w:p w:rsidR="00E97595" w:rsidRPr="008D6141" w:rsidRDefault="00E97595" w:rsidP="00E97595">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tcBorders>
              <w:top w:val="none" w:sz="0" w:space="0" w:color="auto"/>
              <w:bottom w:val="none" w:sz="0" w:space="0" w:color="auto"/>
              <w:right w:val="none" w:sz="0" w:space="0" w:color="auto"/>
            </w:tcBorders>
            <w:noWrap/>
            <w:hideMark/>
          </w:tcPr>
          <w:p w:rsidR="00E97595" w:rsidRDefault="00E97595" w:rsidP="00E97595">
            <w:pPr>
              <w:cnfStyle w:val="000000100000" w:firstRow="0" w:lastRow="0" w:firstColumn="0" w:lastColumn="0" w:oddVBand="0" w:evenVBand="0" w:oddHBand="1" w:evenHBand="0" w:firstRowFirstColumn="0" w:firstRowLastColumn="0" w:lastRowFirstColumn="0" w:lastRowLastColumn="0"/>
            </w:pPr>
            <w:r w:rsidRPr="00E844A8">
              <w:rPr>
                <w:rFonts w:eastAsia="Times New Roman"/>
              </w:rPr>
              <w:t>2012</w:t>
            </w:r>
          </w:p>
        </w:tc>
      </w:tr>
      <w:tr w:rsidR="00E97595"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E97595" w:rsidRPr="008D6141" w:rsidRDefault="00E97595" w:rsidP="00E97595">
            <w:pPr>
              <w:rPr>
                <w:rFonts w:eastAsia="Times New Roman"/>
              </w:rPr>
            </w:pPr>
            <w:r w:rsidRPr="008D6141">
              <w:rPr>
                <w:rFonts w:eastAsia="Times New Roman"/>
              </w:rPr>
              <w:t>Youth Need For Alcohol Or Drug Treatment</w:t>
            </w:r>
          </w:p>
        </w:tc>
        <w:tc>
          <w:tcPr>
            <w:tcW w:w="1854" w:type="pct"/>
            <w:noWrap/>
            <w:hideMark/>
          </w:tcPr>
          <w:p w:rsidR="00E97595" w:rsidRPr="008D6141" w:rsidRDefault="00E97595" w:rsidP="00E97595">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noWrap/>
            <w:hideMark/>
          </w:tcPr>
          <w:p w:rsidR="00E97595" w:rsidRDefault="00E97595" w:rsidP="00E97595">
            <w:pPr>
              <w:cnfStyle w:val="000000000000" w:firstRow="0" w:lastRow="0" w:firstColumn="0" w:lastColumn="0" w:oddVBand="0" w:evenVBand="0" w:oddHBand="0" w:evenHBand="0" w:firstRowFirstColumn="0" w:firstRowLastColumn="0" w:lastRowFirstColumn="0" w:lastRowLastColumn="0"/>
            </w:pPr>
            <w:r w:rsidRPr="00E844A8">
              <w:rPr>
                <w:rFonts w:eastAsia="Times New Roman"/>
              </w:rPr>
              <w:t>2012</w:t>
            </w:r>
          </w:p>
        </w:tc>
      </w:tr>
      <w:tr w:rsidR="00E97595"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E97595" w:rsidRPr="008D6141" w:rsidRDefault="00E97595" w:rsidP="00E97595">
            <w:pPr>
              <w:rPr>
                <w:rFonts w:eastAsia="Times New Roman"/>
              </w:rPr>
            </w:pPr>
            <w:r w:rsidRPr="008D6141">
              <w:rPr>
                <w:rFonts w:eastAsia="Times New Roman"/>
              </w:rPr>
              <w:t>Youth Need For Alcohol Treatment</w:t>
            </w:r>
          </w:p>
        </w:tc>
        <w:tc>
          <w:tcPr>
            <w:tcW w:w="1854" w:type="pct"/>
            <w:tcBorders>
              <w:top w:val="none" w:sz="0" w:space="0" w:color="auto"/>
              <w:bottom w:val="none" w:sz="0" w:space="0" w:color="auto"/>
            </w:tcBorders>
            <w:noWrap/>
            <w:hideMark/>
          </w:tcPr>
          <w:p w:rsidR="00E97595" w:rsidRPr="008D6141" w:rsidRDefault="00E97595" w:rsidP="00E97595">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tcBorders>
              <w:top w:val="none" w:sz="0" w:space="0" w:color="auto"/>
              <w:bottom w:val="none" w:sz="0" w:space="0" w:color="auto"/>
              <w:right w:val="none" w:sz="0" w:space="0" w:color="auto"/>
            </w:tcBorders>
            <w:noWrap/>
            <w:hideMark/>
          </w:tcPr>
          <w:p w:rsidR="00E97595" w:rsidRDefault="00E97595" w:rsidP="00E97595">
            <w:pPr>
              <w:cnfStyle w:val="000000100000" w:firstRow="0" w:lastRow="0" w:firstColumn="0" w:lastColumn="0" w:oddVBand="0" w:evenVBand="0" w:oddHBand="1" w:evenHBand="0" w:firstRowFirstColumn="0" w:firstRowLastColumn="0" w:lastRowFirstColumn="0" w:lastRowLastColumn="0"/>
            </w:pPr>
            <w:r w:rsidRPr="00E844A8">
              <w:rPr>
                <w:rFonts w:eastAsia="Times New Roman"/>
              </w:rPr>
              <w:t>2012</w:t>
            </w:r>
          </w:p>
        </w:tc>
      </w:tr>
      <w:tr w:rsidR="00E97595"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E97595" w:rsidRPr="008D6141" w:rsidRDefault="00E97595" w:rsidP="00E97595">
            <w:pPr>
              <w:rPr>
                <w:rFonts w:eastAsia="Times New Roman"/>
              </w:rPr>
            </w:pPr>
            <w:r w:rsidRPr="008D6141">
              <w:rPr>
                <w:rFonts w:eastAsia="Times New Roman"/>
              </w:rPr>
              <w:t>Youth Need For Drug Treatment</w:t>
            </w:r>
          </w:p>
        </w:tc>
        <w:tc>
          <w:tcPr>
            <w:tcW w:w="1854" w:type="pct"/>
            <w:noWrap/>
            <w:hideMark/>
          </w:tcPr>
          <w:p w:rsidR="00E97595" w:rsidRPr="008D6141" w:rsidRDefault="00E97595" w:rsidP="00E97595">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noWrap/>
            <w:hideMark/>
          </w:tcPr>
          <w:p w:rsidR="00E97595" w:rsidRDefault="00E97595" w:rsidP="00E97595">
            <w:pPr>
              <w:cnfStyle w:val="000000000000" w:firstRow="0" w:lastRow="0" w:firstColumn="0" w:lastColumn="0" w:oddVBand="0" w:evenVBand="0" w:oddHBand="0" w:evenHBand="0" w:firstRowFirstColumn="0" w:firstRowLastColumn="0" w:lastRowFirstColumn="0" w:lastRowLastColumn="0"/>
            </w:pPr>
            <w:r w:rsidRPr="00E844A8">
              <w:rPr>
                <w:rFonts w:eastAsia="Times New Roman"/>
              </w:rPr>
              <w:t>2012</w:t>
            </w:r>
          </w:p>
        </w:tc>
      </w:tr>
      <w:tr w:rsidR="00E97595"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E97595" w:rsidRPr="008D6141" w:rsidRDefault="00E97595" w:rsidP="00E97595">
            <w:pPr>
              <w:rPr>
                <w:rFonts w:eastAsia="Times New Roman"/>
              </w:rPr>
            </w:pPr>
            <w:r w:rsidRPr="008D6141">
              <w:rPr>
                <w:rFonts w:eastAsia="Times New Roman"/>
              </w:rPr>
              <w:t>Youth Prescription Narcotics Use-30-Day</w:t>
            </w:r>
          </w:p>
        </w:tc>
        <w:tc>
          <w:tcPr>
            <w:tcW w:w="1854" w:type="pct"/>
            <w:tcBorders>
              <w:top w:val="none" w:sz="0" w:space="0" w:color="auto"/>
              <w:bottom w:val="none" w:sz="0" w:space="0" w:color="auto"/>
            </w:tcBorders>
            <w:noWrap/>
            <w:hideMark/>
          </w:tcPr>
          <w:p w:rsidR="00E97595" w:rsidRPr="008D6141" w:rsidRDefault="00E97595" w:rsidP="00E97595">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tcBorders>
              <w:top w:val="none" w:sz="0" w:space="0" w:color="auto"/>
              <w:bottom w:val="none" w:sz="0" w:space="0" w:color="auto"/>
              <w:right w:val="none" w:sz="0" w:space="0" w:color="auto"/>
            </w:tcBorders>
            <w:noWrap/>
            <w:hideMark/>
          </w:tcPr>
          <w:p w:rsidR="00E97595" w:rsidRDefault="00E97595" w:rsidP="00E97595">
            <w:pPr>
              <w:cnfStyle w:val="000000100000" w:firstRow="0" w:lastRow="0" w:firstColumn="0" w:lastColumn="0" w:oddVBand="0" w:evenVBand="0" w:oddHBand="1" w:evenHBand="0" w:firstRowFirstColumn="0" w:firstRowLastColumn="0" w:lastRowFirstColumn="0" w:lastRowLastColumn="0"/>
            </w:pPr>
            <w:r w:rsidRPr="00E844A8">
              <w:rPr>
                <w:rFonts w:eastAsia="Times New Roman"/>
              </w:rPr>
              <w:t>2012</w:t>
            </w:r>
          </w:p>
        </w:tc>
      </w:tr>
      <w:tr w:rsidR="00E97595"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E97595" w:rsidRPr="008D6141" w:rsidRDefault="00E97595" w:rsidP="00E97595">
            <w:pPr>
              <w:rPr>
                <w:rFonts w:eastAsia="Times New Roman"/>
              </w:rPr>
            </w:pPr>
            <w:r w:rsidRPr="008D6141">
              <w:rPr>
                <w:rFonts w:eastAsia="Times New Roman"/>
              </w:rPr>
              <w:lastRenderedPageBreak/>
              <w:t>Youth Prescription Narcotics Use-Lifetime</w:t>
            </w:r>
          </w:p>
        </w:tc>
        <w:tc>
          <w:tcPr>
            <w:tcW w:w="1854" w:type="pct"/>
            <w:noWrap/>
            <w:hideMark/>
          </w:tcPr>
          <w:p w:rsidR="00E97595" w:rsidRPr="008D6141" w:rsidRDefault="00E97595" w:rsidP="00E97595">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noWrap/>
            <w:hideMark/>
          </w:tcPr>
          <w:p w:rsidR="00E97595" w:rsidRDefault="00E97595" w:rsidP="00E97595">
            <w:pPr>
              <w:cnfStyle w:val="000000000000" w:firstRow="0" w:lastRow="0" w:firstColumn="0" w:lastColumn="0" w:oddVBand="0" w:evenVBand="0" w:oddHBand="0" w:evenHBand="0" w:firstRowFirstColumn="0" w:firstRowLastColumn="0" w:lastRowFirstColumn="0" w:lastRowLastColumn="0"/>
            </w:pPr>
            <w:r w:rsidRPr="00E844A8">
              <w:rPr>
                <w:rFonts w:eastAsia="Times New Roman"/>
              </w:rPr>
              <w:t>2012</w:t>
            </w:r>
          </w:p>
        </w:tc>
      </w:tr>
      <w:tr w:rsidR="00E97595"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E97595" w:rsidRPr="008D6141" w:rsidRDefault="00E97595" w:rsidP="00E97595">
            <w:pPr>
              <w:rPr>
                <w:rFonts w:eastAsia="Times New Roman"/>
              </w:rPr>
            </w:pPr>
            <w:r w:rsidRPr="008D6141">
              <w:rPr>
                <w:rFonts w:eastAsia="Times New Roman"/>
              </w:rPr>
              <w:t>Youth Riding With Drinking Driver</w:t>
            </w:r>
          </w:p>
        </w:tc>
        <w:tc>
          <w:tcPr>
            <w:tcW w:w="1854" w:type="pct"/>
            <w:tcBorders>
              <w:top w:val="none" w:sz="0" w:space="0" w:color="auto"/>
              <w:bottom w:val="none" w:sz="0" w:space="0" w:color="auto"/>
            </w:tcBorders>
            <w:noWrap/>
            <w:hideMark/>
          </w:tcPr>
          <w:p w:rsidR="00E97595" w:rsidRPr="008D6141" w:rsidRDefault="00E97595" w:rsidP="00E97595">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tcBorders>
              <w:top w:val="none" w:sz="0" w:space="0" w:color="auto"/>
              <w:bottom w:val="none" w:sz="0" w:space="0" w:color="auto"/>
              <w:right w:val="none" w:sz="0" w:space="0" w:color="auto"/>
            </w:tcBorders>
            <w:noWrap/>
            <w:hideMark/>
          </w:tcPr>
          <w:p w:rsidR="00E97595" w:rsidRDefault="00E97595" w:rsidP="00E97595">
            <w:pPr>
              <w:cnfStyle w:val="000000100000" w:firstRow="0" w:lastRow="0" w:firstColumn="0" w:lastColumn="0" w:oddVBand="0" w:evenVBand="0" w:oddHBand="1" w:evenHBand="0" w:firstRowFirstColumn="0" w:firstRowLastColumn="0" w:lastRowFirstColumn="0" w:lastRowLastColumn="0"/>
            </w:pPr>
            <w:r w:rsidRPr="00E844A8">
              <w:rPr>
                <w:rFonts w:eastAsia="Times New Roman"/>
              </w:rPr>
              <w:t>2012</w:t>
            </w:r>
          </w:p>
        </w:tc>
      </w:tr>
      <w:tr w:rsidR="00E97595"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E97595" w:rsidRPr="008D6141" w:rsidRDefault="00E97595" w:rsidP="00E97595">
            <w:pPr>
              <w:rPr>
                <w:rFonts w:eastAsia="Times New Roman"/>
              </w:rPr>
            </w:pPr>
            <w:r w:rsidRPr="008D6141">
              <w:rPr>
                <w:rFonts w:eastAsia="Times New Roman"/>
              </w:rPr>
              <w:t>Youth Sedative Use-30-Day</w:t>
            </w:r>
          </w:p>
        </w:tc>
        <w:tc>
          <w:tcPr>
            <w:tcW w:w="1854" w:type="pct"/>
            <w:noWrap/>
            <w:hideMark/>
          </w:tcPr>
          <w:p w:rsidR="00E97595" w:rsidRPr="008D6141" w:rsidRDefault="00E97595" w:rsidP="00E97595">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noWrap/>
            <w:hideMark/>
          </w:tcPr>
          <w:p w:rsidR="00E97595" w:rsidRDefault="00E97595" w:rsidP="00E97595">
            <w:pPr>
              <w:cnfStyle w:val="000000000000" w:firstRow="0" w:lastRow="0" w:firstColumn="0" w:lastColumn="0" w:oddVBand="0" w:evenVBand="0" w:oddHBand="0" w:evenHBand="0" w:firstRowFirstColumn="0" w:firstRowLastColumn="0" w:lastRowFirstColumn="0" w:lastRowLastColumn="0"/>
            </w:pPr>
            <w:r w:rsidRPr="00E844A8">
              <w:rPr>
                <w:rFonts w:eastAsia="Times New Roman"/>
              </w:rPr>
              <w:t>2012</w:t>
            </w:r>
          </w:p>
        </w:tc>
      </w:tr>
      <w:tr w:rsidR="00E97595"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E97595" w:rsidRPr="008D6141" w:rsidRDefault="00E97595" w:rsidP="00E97595">
            <w:pPr>
              <w:rPr>
                <w:rFonts w:eastAsia="Times New Roman"/>
              </w:rPr>
            </w:pPr>
            <w:r w:rsidRPr="008D6141">
              <w:rPr>
                <w:rFonts w:eastAsia="Times New Roman"/>
              </w:rPr>
              <w:t>Youth Sedative Use-Lifetime</w:t>
            </w:r>
          </w:p>
        </w:tc>
        <w:tc>
          <w:tcPr>
            <w:tcW w:w="1854" w:type="pct"/>
            <w:tcBorders>
              <w:top w:val="none" w:sz="0" w:space="0" w:color="auto"/>
              <w:bottom w:val="none" w:sz="0" w:space="0" w:color="auto"/>
            </w:tcBorders>
            <w:noWrap/>
            <w:hideMark/>
          </w:tcPr>
          <w:p w:rsidR="00E97595" w:rsidRPr="008D6141" w:rsidRDefault="00E97595" w:rsidP="00E97595">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tcBorders>
              <w:top w:val="none" w:sz="0" w:space="0" w:color="auto"/>
              <w:bottom w:val="none" w:sz="0" w:space="0" w:color="auto"/>
              <w:right w:val="none" w:sz="0" w:space="0" w:color="auto"/>
            </w:tcBorders>
            <w:noWrap/>
            <w:hideMark/>
          </w:tcPr>
          <w:p w:rsidR="00E97595" w:rsidRDefault="00E97595" w:rsidP="00E97595">
            <w:pPr>
              <w:cnfStyle w:val="000000100000" w:firstRow="0" w:lastRow="0" w:firstColumn="0" w:lastColumn="0" w:oddVBand="0" w:evenVBand="0" w:oddHBand="1" w:evenHBand="0" w:firstRowFirstColumn="0" w:firstRowLastColumn="0" w:lastRowFirstColumn="0" w:lastRowLastColumn="0"/>
            </w:pPr>
            <w:r w:rsidRPr="00E844A8">
              <w:rPr>
                <w:rFonts w:eastAsia="Times New Roman"/>
              </w:rPr>
              <w:t>2012</w:t>
            </w:r>
          </w:p>
        </w:tc>
      </w:tr>
      <w:tr w:rsidR="00E97595"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E97595" w:rsidRPr="008D6141" w:rsidRDefault="00E97595" w:rsidP="00E97595">
            <w:pPr>
              <w:rPr>
                <w:rFonts w:eastAsia="Times New Roman"/>
              </w:rPr>
            </w:pPr>
            <w:r w:rsidRPr="008D6141">
              <w:rPr>
                <w:rFonts w:eastAsia="Times New Roman"/>
              </w:rPr>
              <w:t>Youth Sold Drugs</w:t>
            </w:r>
          </w:p>
        </w:tc>
        <w:tc>
          <w:tcPr>
            <w:tcW w:w="1854" w:type="pct"/>
            <w:noWrap/>
            <w:hideMark/>
          </w:tcPr>
          <w:p w:rsidR="00E97595" w:rsidRPr="008D6141" w:rsidRDefault="00E97595" w:rsidP="00E97595">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noWrap/>
            <w:hideMark/>
          </w:tcPr>
          <w:p w:rsidR="00E97595" w:rsidRDefault="00E97595" w:rsidP="00E97595">
            <w:pPr>
              <w:cnfStyle w:val="000000000000" w:firstRow="0" w:lastRow="0" w:firstColumn="0" w:lastColumn="0" w:oddVBand="0" w:evenVBand="0" w:oddHBand="0" w:evenHBand="0" w:firstRowFirstColumn="0" w:firstRowLastColumn="0" w:lastRowFirstColumn="0" w:lastRowLastColumn="0"/>
            </w:pPr>
            <w:r w:rsidRPr="00E844A8">
              <w:rPr>
                <w:rFonts w:eastAsia="Times New Roman"/>
              </w:rPr>
              <w:t>2012</w:t>
            </w:r>
          </w:p>
        </w:tc>
      </w:tr>
      <w:tr w:rsidR="00E97595"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E97595" w:rsidRPr="008D6141" w:rsidRDefault="00E97595" w:rsidP="00E97595">
            <w:pPr>
              <w:rPr>
                <w:rFonts w:eastAsia="Times New Roman"/>
              </w:rPr>
            </w:pPr>
            <w:r w:rsidRPr="008D6141">
              <w:rPr>
                <w:rFonts w:eastAsia="Times New Roman"/>
              </w:rPr>
              <w:t>Youth Stimulant Use-30-Day</w:t>
            </w:r>
          </w:p>
        </w:tc>
        <w:tc>
          <w:tcPr>
            <w:tcW w:w="1854" w:type="pct"/>
            <w:tcBorders>
              <w:top w:val="none" w:sz="0" w:space="0" w:color="auto"/>
              <w:bottom w:val="none" w:sz="0" w:space="0" w:color="auto"/>
            </w:tcBorders>
            <w:noWrap/>
            <w:hideMark/>
          </w:tcPr>
          <w:p w:rsidR="00E97595" w:rsidRPr="008D6141" w:rsidRDefault="00E97595" w:rsidP="00E97595">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tcBorders>
              <w:top w:val="none" w:sz="0" w:space="0" w:color="auto"/>
              <w:bottom w:val="none" w:sz="0" w:space="0" w:color="auto"/>
              <w:right w:val="none" w:sz="0" w:space="0" w:color="auto"/>
            </w:tcBorders>
            <w:noWrap/>
            <w:hideMark/>
          </w:tcPr>
          <w:p w:rsidR="00E97595" w:rsidRDefault="00E97595" w:rsidP="00E97595">
            <w:pPr>
              <w:cnfStyle w:val="000000100000" w:firstRow="0" w:lastRow="0" w:firstColumn="0" w:lastColumn="0" w:oddVBand="0" w:evenVBand="0" w:oddHBand="1" w:evenHBand="0" w:firstRowFirstColumn="0" w:firstRowLastColumn="0" w:lastRowFirstColumn="0" w:lastRowLastColumn="0"/>
            </w:pPr>
            <w:r w:rsidRPr="00E844A8">
              <w:rPr>
                <w:rFonts w:eastAsia="Times New Roman"/>
              </w:rPr>
              <w:t>2012</w:t>
            </w:r>
          </w:p>
        </w:tc>
      </w:tr>
      <w:tr w:rsidR="00E97595"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E97595" w:rsidRPr="008D6141" w:rsidRDefault="00E97595" w:rsidP="00E97595">
            <w:pPr>
              <w:rPr>
                <w:rFonts w:eastAsia="Times New Roman"/>
              </w:rPr>
            </w:pPr>
            <w:r w:rsidRPr="008D6141">
              <w:rPr>
                <w:rFonts w:eastAsia="Times New Roman"/>
              </w:rPr>
              <w:t>Youth Stimulant Use-Lifetime</w:t>
            </w:r>
          </w:p>
        </w:tc>
        <w:tc>
          <w:tcPr>
            <w:tcW w:w="1854" w:type="pct"/>
            <w:noWrap/>
            <w:hideMark/>
          </w:tcPr>
          <w:p w:rsidR="00E97595" w:rsidRPr="008D6141" w:rsidRDefault="00E97595" w:rsidP="00E97595">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noWrap/>
            <w:hideMark/>
          </w:tcPr>
          <w:p w:rsidR="00E97595" w:rsidRDefault="00E97595" w:rsidP="00E97595">
            <w:pPr>
              <w:cnfStyle w:val="000000000000" w:firstRow="0" w:lastRow="0" w:firstColumn="0" w:lastColumn="0" w:oddVBand="0" w:evenVBand="0" w:oddHBand="0" w:evenHBand="0" w:firstRowFirstColumn="0" w:firstRowLastColumn="0" w:lastRowFirstColumn="0" w:lastRowLastColumn="0"/>
            </w:pPr>
            <w:r w:rsidRPr="00E844A8">
              <w:rPr>
                <w:rFonts w:eastAsia="Times New Roman"/>
              </w:rPr>
              <w:t>2012</w:t>
            </w:r>
          </w:p>
        </w:tc>
      </w:tr>
      <w:tr w:rsidR="00E97595"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E97595" w:rsidRPr="008D6141" w:rsidRDefault="00E97595" w:rsidP="00E97595">
            <w:pPr>
              <w:rPr>
                <w:rFonts w:eastAsia="Times New Roman"/>
              </w:rPr>
            </w:pPr>
            <w:r w:rsidRPr="008D6141">
              <w:rPr>
                <w:rFonts w:eastAsia="Times New Roman"/>
              </w:rPr>
              <w:t>Youth Stolen A Vehicle</w:t>
            </w:r>
          </w:p>
        </w:tc>
        <w:tc>
          <w:tcPr>
            <w:tcW w:w="1854" w:type="pct"/>
            <w:tcBorders>
              <w:top w:val="none" w:sz="0" w:space="0" w:color="auto"/>
              <w:bottom w:val="none" w:sz="0" w:space="0" w:color="auto"/>
            </w:tcBorders>
            <w:noWrap/>
            <w:hideMark/>
          </w:tcPr>
          <w:p w:rsidR="00E97595" w:rsidRPr="008D6141" w:rsidRDefault="00E97595" w:rsidP="00E97595">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tcBorders>
              <w:top w:val="none" w:sz="0" w:space="0" w:color="auto"/>
              <w:bottom w:val="none" w:sz="0" w:space="0" w:color="auto"/>
              <w:right w:val="none" w:sz="0" w:space="0" w:color="auto"/>
            </w:tcBorders>
            <w:noWrap/>
            <w:hideMark/>
          </w:tcPr>
          <w:p w:rsidR="00E97595" w:rsidRDefault="00E97595" w:rsidP="00E97595">
            <w:pPr>
              <w:cnfStyle w:val="000000100000" w:firstRow="0" w:lastRow="0" w:firstColumn="0" w:lastColumn="0" w:oddVBand="0" w:evenVBand="0" w:oddHBand="1" w:evenHBand="0" w:firstRowFirstColumn="0" w:firstRowLastColumn="0" w:lastRowFirstColumn="0" w:lastRowLastColumn="0"/>
            </w:pPr>
            <w:r w:rsidRPr="00E844A8">
              <w:rPr>
                <w:rFonts w:eastAsia="Times New Roman"/>
              </w:rPr>
              <w:t>2012</w:t>
            </w:r>
          </w:p>
        </w:tc>
      </w:tr>
      <w:tr w:rsidR="00E97595"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E97595" w:rsidRPr="008D6141" w:rsidRDefault="00E97595" w:rsidP="00E97595">
            <w:pPr>
              <w:rPr>
                <w:rFonts w:eastAsia="Times New Roman"/>
              </w:rPr>
            </w:pPr>
            <w:r w:rsidRPr="008D6141">
              <w:rPr>
                <w:rFonts w:eastAsia="Times New Roman"/>
              </w:rPr>
              <w:t>Youth Suicidal Ideation</w:t>
            </w:r>
          </w:p>
        </w:tc>
        <w:tc>
          <w:tcPr>
            <w:tcW w:w="1854" w:type="pct"/>
            <w:noWrap/>
            <w:hideMark/>
          </w:tcPr>
          <w:p w:rsidR="00E97595" w:rsidRPr="008D6141" w:rsidRDefault="00E97595" w:rsidP="00E97595">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noWrap/>
            <w:hideMark/>
          </w:tcPr>
          <w:p w:rsidR="00E97595" w:rsidRDefault="00E97595" w:rsidP="00E97595">
            <w:pPr>
              <w:cnfStyle w:val="000000000000" w:firstRow="0" w:lastRow="0" w:firstColumn="0" w:lastColumn="0" w:oddVBand="0" w:evenVBand="0" w:oddHBand="0" w:evenHBand="0" w:firstRowFirstColumn="0" w:firstRowLastColumn="0" w:lastRowFirstColumn="0" w:lastRowLastColumn="0"/>
            </w:pPr>
            <w:r w:rsidRPr="00E844A8">
              <w:rPr>
                <w:rFonts w:eastAsia="Times New Roman"/>
              </w:rPr>
              <w:t>2012</w:t>
            </w:r>
          </w:p>
        </w:tc>
      </w:tr>
      <w:tr w:rsidR="00E97595"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E97595" w:rsidRPr="008D6141" w:rsidRDefault="00E97595" w:rsidP="00E97595">
            <w:pPr>
              <w:rPr>
                <w:rFonts w:eastAsia="Times New Roman"/>
              </w:rPr>
            </w:pPr>
            <w:r w:rsidRPr="008D6141">
              <w:rPr>
                <w:rFonts w:eastAsia="Times New Roman"/>
              </w:rPr>
              <w:t>Youth Suspended From School</w:t>
            </w:r>
          </w:p>
        </w:tc>
        <w:tc>
          <w:tcPr>
            <w:tcW w:w="1854" w:type="pct"/>
            <w:tcBorders>
              <w:top w:val="none" w:sz="0" w:space="0" w:color="auto"/>
              <w:bottom w:val="none" w:sz="0" w:space="0" w:color="auto"/>
            </w:tcBorders>
            <w:noWrap/>
            <w:hideMark/>
          </w:tcPr>
          <w:p w:rsidR="00E97595" w:rsidRPr="008D6141" w:rsidRDefault="00E97595" w:rsidP="00E97595">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tcBorders>
              <w:top w:val="none" w:sz="0" w:space="0" w:color="auto"/>
              <w:bottom w:val="none" w:sz="0" w:space="0" w:color="auto"/>
              <w:right w:val="none" w:sz="0" w:space="0" w:color="auto"/>
            </w:tcBorders>
            <w:noWrap/>
            <w:hideMark/>
          </w:tcPr>
          <w:p w:rsidR="00E97595" w:rsidRDefault="00E97595" w:rsidP="00E97595">
            <w:pPr>
              <w:cnfStyle w:val="000000100000" w:firstRow="0" w:lastRow="0" w:firstColumn="0" w:lastColumn="0" w:oddVBand="0" w:evenVBand="0" w:oddHBand="1" w:evenHBand="0" w:firstRowFirstColumn="0" w:firstRowLastColumn="0" w:lastRowFirstColumn="0" w:lastRowLastColumn="0"/>
            </w:pPr>
            <w:r w:rsidRPr="00E844A8">
              <w:rPr>
                <w:rFonts w:eastAsia="Times New Roman"/>
              </w:rPr>
              <w:t>2012</w:t>
            </w:r>
          </w:p>
        </w:tc>
      </w:tr>
      <w:tr w:rsidR="00E97595"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E97595" w:rsidRPr="008D6141" w:rsidRDefault="00E97595" w:rsidP="00E97595">
            <w:pPr>
              <w:rPr>
                <w:rFonts w:eastAsia="Times New Roman"/>
              </w:rPr>
            </w:pPr>
            <w:r w:rsidRPr="008D6141">
              <w:rPr>
                <w:rFonts w:eastAsia="Times New Roman"/>
              </w:rPr>
              <w:t>Gambling Past Year: Casino</w:t>
            </w:r>
          </w:p>
        </w:tc>
        <w:tc>
          <w:tcPr>
            <w:tcW w:w="1854" w:type="pct"/>
            <w:noWrap/>
            <w:hideMark/>
          </w:tcPr>
          <w:p w:rsidR="00E97595" w:rsidRPr="008D6141" w:rsidRDefault="00E97595" w:rsidP="00E97595">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noWrap/>
            <w:hideMark/>
          </w:tcPr>
          <w:p w:rsidR="00E97595" w:rsidRDefault="00E97595" w:rsidP="00E97595">
            <w:pPr>
              <w:cnfStyle w:val="000000000000" w:firstRow="0" w:lastRow="0" w:firstColumn="0" w:lastColumn="0" w:oddVBand="0" w:evenVBand="0" w:oddHBand="0" w:evenHBand="0" w:firstRowFirstColumn="0" w:firstRowLastColumn="0" w:lastRowFirstColumn="0" w:lastRowLastColumn="0"/>
            </w:pPr>
            <w:r w:rsidRPr="00E844A8">
              <w:rPr>
                <w:rFonts w:eastAsia="Times New Roman"/>
              </w:rPr>
              <w:t>2012</w:t>
            </w:r>
          </w:p>
        </w:tc>
      </w:tr>
      <w:tr w:rsidR="00E97595"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E97595" w:rsidRPr="008D6141" w:rsidRDefault="00E97595" w:rsidP="00E97595">
            <w:pPr>
              <w:rPr>
                <w:rFonts w:eastAsia="Times New Roman"/>
              </w:rPr>
            </w:pPr>
            <w:r w:rsidRPr="008D6141">
              <w:rPr>
                <w:rFonts w:eastAsia="Times New Roman"/>
              </w:rPr>
              <w:t>Gambling Past Year: Lottery</w:t>
            </w:r>
          </w:p>
        </w:tc>
        <w:tc>
          <w:tcPr>
            <w:tcW w:w="1854" w:type="pct"/>
            <w:tcBorders>
              <w:top w:val="none" w:sz="0" w:space="0" w:color="auto"/>
              <w:bottom w:val="none" w:sz="0" w:space="0" w:color="auto"/>
            </w:tcBorders>
            <w:noWrap/>
            <w:hideMark/>
          </w:tcPr>
          <w:p w:rsidR="00E97595" w:rsidRPr="008D6141" w:rsidRDefault="00E97595" w:rsidP="00E97595">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tcBorders>
              <w:top w:val="none" w:sz="0" w:space="0" w:color="auto"/>
              <w:bottom w:val="none" w:sz="0" w:space="0" w:color="auto"/>
              <w:right w:val="none" w:sz="0" w:space="0" w:color="auto"/>
            </w:tcBorders>
            <w:noWrap/>
            <w:hideMark/>
          </w:tcPr>
          <w:p w:rsidR="00E97595" w:rsidRDefault="00E97595" w:rsidP="00E97595">
            <w:pPr>
              <w:cnfStyle w:val="000000100000" w:firstRow="0" w:lastRow="0" w:firstColumn="0" w:lastColumn="0" w:oddVBand="0" w:evenVBand="0" w:oddHBand="1" w:evenHBand="0" w:firstRowFirstColumn="0" w:firstRowLastColumn="0" w:lastRowFirstColumn="0" w:lastRowLastColumn="0"/>
            </w:pPr>
            <w:r w:rsidRPr="00E844A8">
              <w:rPr>
                <w:rFonts w:eastAsia="Times New Roman"/>
              </w:rPr>
              <w:t>2012</w:t>
            </w:r>
          </w:p>
        </w:tc>
      </w:tr>
      <w:tr w:rsidR="00E97595"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E97595" w:rsidRPr="008D6141" w:rsidRDefault="00E97595" w:rsidP="00E97595">
            <w:pPr>
              <w:rPr>
                <w:rFonts w:eastAsia="Times New Roman"/>
              </w:rPr>
            </w:pPr>
            <w:r w:rsidRPr="008D6141">
              <w:rPr>
                <w:rFonts w:eastAsia="Times New Roman"/>
              </w:rPr>
              <w:t>Gambling Past Year: Bet on Sports</w:t>
            </w:r>
          </w:p>
        </w:tc>
        <w:tc>
          <w:tcPr>
            <w:tcW w:w="1854" w:type="pct"/>
            <w:noWrap/>
            <w:hideMark/>
          </w:tcPr>
          <w:p w:rsidR="00E97595" w:rsidRPr="008D6141" w:rsidRDefault="00E97595" w:rsidP="00E97595">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noWrap/>
            <w:hideMark/>
          </w:tcPr>
          <w:p w:rsidR="00E97595" w:rsidRDefault="00E97595" w:rsidP="00E97595">
            <w:pPr>
              <w:cnfStyle w:val="000000000000" w:firstRow="0" w:lastRow="0" w:firstColumn="0" w:lastColumn="0" w:oddVBand="0" w:evenVBand="0" w:oddHBand="0" w:evenHBand="0" w:firstRowFirstColumn="0" w:firstRowLastColumn="0" w:lastRowFirstColumn="0" w:lastRowLastColumn="0"/>
            </w:pPr>
            <w:r w:rsidRPr="00E844A8">
              <w:rPr>
                <w:rFonts w:eastAsia="Times New Roman"/>
              </w:rPr>
              <w:t>2012</w:t>
            </w:r>
          </w:p>
        </w:tc>
      </w:tr>
      <w:tr w:rsidR="00E97595"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E97595" w:rsidRPr="008D6141" w:rsidRDefault="00E97595" w:rsidP="00E97595">
            <w:pPr>
              <w:rPr>
                <w:rFonts w:eastAsia="Times New Roman"/>
              </w:rPr>
            </w:pPr>
            <w:r w:rsidRPr="008D6141">
              <w:rPr>
                <w:rFonts w:eastAsia="Times New Roman"/>
              </w:rPr>
              <w:t>Gambling Past Year: Bet on Cards</w:t>
            </w:r>
          </w:p>
        </w:tc>
        <w:tc>
          <w:tcPr>
            <w:tcW w:w="1854" w:type="pct"/>
            <w:tcBorders>
              <w:top w:val="none" w:sz="0" w:space="0" w:color="auto"/>
              <w:bottom w:val="none" w:sz="0" w:space="0" w:color="auto"/>
            </w:tcBorders>
            <w:noWrap/>
            <w:hideMark/>
          </w:tcPr>
          <w:p w:rsidR="00E97595" w:rsidRPr="008D6141" w:rsidRDefault="00E97595" w:rsidP="00E97595">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tcBorders>
              <w:top w:val="none" w:sz="0" w:space="0" w:color="auto"/>
              <w:bottom w:val="none" w:sz="0" w:space="0" w:color="auto"/>
              <w:right w:val="none" w:sz="0" w:space="0" w:color="auto"/>
            </w:tcBorders>
            <w:noWrap/>
            <w:hideMark/>
          </w:tcPr>
          <w:p w:rsidR="00E97595" w:rsidRDefault="00E97595" w:rsidP="00E97595">
            <w:pPr>
              <w:cnfStyle w:val="000000100000" w:firstRow="0" w:lastRow="0" w:firstColumn="0" w:lastColumn="0" w:oddVBand="0" w:evenVBand="0" w:oddHBand="1" w:evenHBand="0" w:firstRowFirstColumn="0" w:firstRowLastColumn="0" w:lastRowFirstColumn="0" w:lastRowLastColumn="0"/>
            </w:pPr>
            <w:r w:rsidRPr="00E844A8">
              <w:rPr>
                <w:rFonts w:eastAsia="Times New Roman"/>
              </w:rPr>
              <w:t>2012</w:t>
            </w:r>
          </w:p>
        </w:tc>
      </w:tr>
      <w:tr w:rsidR="00E97595"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E97595" w:rsidRPr="008D6141" w:rsidRDefault="00E97595" w:rsidP="00E97595">
            <w:pPr>
              <w:rPr>
                <w:rFonts w:eastAsia="Times New Roman"/>
              </w:rPr>
            </w:pPr>
            <w:r w:rsidRPr="008D6141">
              <w:rPr>
                <w:rFonts w:eastAsia="Times New Roman"/>
              </w:rPr>
              <w:t>Gambling Past Year: Bet on Horses</w:t>
            </w:r>
          </w:p>
        </w:tc>
        <w:tc>
          <w:tcPr>
            <w:tcW w:w="1854" w:type="pct"/>
            <w:noWrap/>
            <w:hideMark/>
          </w:tcPr>
          <w:p w:rsidR="00E97595" w:rsidRPr="008D6141" w:rsidRDefault="00E97595" w:rsidP="00E97595">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noWrap/>
            <w:hideMark/>
          </w:tcPr>
          <w:p w:rsidR="00E97595" w:rsidRDefault="00E97595" w:rsidP="00E97595">
            <w:pPr>
              <w:cnfStyle w:val="000000000000" w:firstRow="0" w:lastRow="0" w:firstColumn="0" w:lastColumn="0" w:oddVBand="0" w:evenVBand="0" w:oddHBand="0" w:evenHBand="0" w:firstRowFirstColumn="0" w:firstRowLastColumn="0" w:lastRowFirstColumn="0" w:lastRowLastColumn="0"/>
            </w:pPr>
            <w:r w:rsidRPr="00E844A8">
              <w:rPr>
                <w:rFonts w:eastAsia="Times New Roman"/>
              </w:rPr>
              <w:t>2012</w:t>
            </w:r>
          </w:p>
        </w:tc>
      </w:tr>
      <w:tr w:rsidR="00E97595"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E97595" w:rsidRPr="008D6141" w:rsidRDefault="00E97595" w:rsidP="00E97595">
            <w:pPr>
              <w:rPr>
                <w:rFonts w:eastAsia="Times New Roman"/>
              </w:rPr>
            </w:pPr>
            <w:r w:rsidRPr="008D6141">
              <w:rPr>
                <w:rFonts w:eastAsia="Times New Roman"/>
              </w:rPr>
              <w:t>Gambling Past Year: Bet on Bingo</w:t>
            </w:r>
          </w:p>
        </w:tc>
        <w:tc>
          <w:tcPr>
            <w:tcW w:w="1854" w:type="pct"/>
            <w:tcBorders>
              <w:top w:val="none" w:sz="0" w:space="0" w:color="auto"/>
              <w:bottom w:val="none" w:sz="0" w:space="0" w:color="auto"/>
            </w:tcBorders>
            <w:noWrap/>
            <w:hideMark/>
          </w:tcPr>
          <w:p w:rsidR="00E97595" w:rsidRPr="008D6141" w:rsidRDefault="00E97595" w:rsidP="00E97595">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tcBorders>
              <w:top w:val="none" w:sz="0" w:space="0" w:color="auto"/>
              <w:bottom w:val="none" w:sz="0" w:space="0" w:color="auto"/>
              <w:right w:val="none" w:sz="0" w:space="0" w:color="auto"/>
            </w:tcBorders>
            <w:noWrap/>
            <w:hideMark/>
          </w:tcPr>
          <w:p w:rsidR="00E97595" w:rsidRDefault="00E97595" w:rsidP="00E97595">
            <w:pPr>
              <w:cnfStyle w:val="000000100000" w:firstRow="0" w:lastRow="0" w:firstColumn="0" w:lastColumn="0" w:oddVBand="0" w:evenVBand="0" w:oddHBand="1" w:evenHBand="0" w:firstRowFirstColumn="0" w:firstRowLastColumn="0" w:lastRowFirstColumn="0" w:lastRowLastColumn="0"/>
            </w:pPr>
            <w:r w:rsidRPr="00E844A8">
              <w:rPr>
                <w:rFonts w:eastAsia="Times New Roman"/>
              </w:rPr>
              <w:t>2012</w:t>
            </w:r>
          </w:p>
        </w:tc>
      </w:tr>
      <w:tr w:rsidR="00E97595"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E97595" w:rsidRPr="008D6141" w:rsidRDefault="00E97595" w:rsidP="00E97595">
            <w:pPr>
              <w:rPr>
                <w:rFonts w:eastAsia="Times New Roman"/>
              </w:rPr>
            </w:pPr>
            <w:r w:rsidRPr="008D6141">
              <w:rPr>
                <w:rFonts w:eastAsia="Times New Roman"/>
              </w:rPr>
              <w:t xml:space="preserve">Gambling Past Year: Online </w:t>
            </w:r>
          </w:p>
        </w:tc>
        <w:tc>
          <w:tcPr>
            <w:tcW w:w="1854" w:type="pct"/>
            <w:noWrap/>
            <w:hideMark/>
          </w:tcPr>
          <w:p w:rsidR="00E97595" w:rsidRPr="008D6141" w:rsidRDefault="00E97595" w:rsidP="00E97595">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noWrap/>
            <w:hideMark/>
          </w:tcPr>
          <w:p w:rsidR="00E97595" w:rsidRDefault="00E97595" w:rsidP="00E97595">
            <w:pPr>
              <w:cnfStyle w:val="000000000000" w:firstRow="0" w:lastRow="0" w:firstColumn="0" w:lastColumn="0" w:oddVBand="0" w:evenVBand="0" w:oddHBand="0" w:evenHBand="0" w:firstRowFirstColumn="0" w:firstRowLastColumn="0" w:lastRowFirstColumn="0" w:lastRowLastColumn="0"/>
            </w:pPr>
            <w:r w:rsidRPr="00E844A8">
              <w:rPr>
                <w:rFonts w:eastAsia="Times New Roman"/>
              </w:rPr>
              <w:t>2012</w:t>
            </w:r>
          </w:p>
        </w:tc>
      </w:tr>
      <w:tr w:rsidR="00E97595"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E97595" w:rsidRPr="008D6141" w:rsidRDefault="00E97595" w:rsidP="00E97595">
            <w:pPr>
              <w:rPr>
                <w:rFonts w:eastAsia="Times New Roman"/>
              </w:rPr>
            </w:pPr>
            <w:r w:rsidRPr="008D6141">
              <w:rPr>
                <w:rFonts w:eastAsia="Times New Roman"/>
              </w:rPr>
              <w:t>Gambling Past Year: Bet on Dice</w:t>
            </w:r>
          </w:p>
        </w:tc>
        <w:tc>
          <w:tcPr>
            <w:tcW w:w="1854" w:type="pct"/>
            <w:tcBorders>
              <w:top w:val="none" w:sz="0" w:space="0" w:color="auto"/>
              <w:bottom w:val="none" w:sz="0" w:space="0" w:color="auto"/>
            </w:tcBorders>
            <w:noWrap/>
            <w:hideMark/>
          </w:tcPr>
          <w:p w:rsidR="00E97595" w:rsidRPr="008D6141" w:rsidRDefault="00E97595" w:rsidP="00E97595">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tcBorders>
              <w:top w:val="none" w:sz="0" w:space="0" w:color="auto"/>
              <w:bottom w:val="none" w:sz="0" w:space="0" w:color="auto"/>
              <w:right w:val="none" w:sz="0" w:space="0" w:color="auto"/>
            </w:tcBorders>
            <w:noWrap/>
            <w:hideMark/>
          </w:tcPr>
          <w:p w:rsidR="00E97595" w:rsidRDefault="00E97595" w:rsidP="00E97595">
            <w:pPr>
              <w:cnfStyle w:val="000000100000" w:firstRow="0" w:lastRow="0" w:firstColumn="0" w:lastColumn="0" w:oddVBand="0" w:evenVBand="0" w:oddHBand="1" w:evenHBand="0" w:firstRowFirstColumn="0" w:firstRowLastColumn="0" w:lastRowFirstColumn="0" w:lastRowLastColumn="0"/>
            </w:pPr>
            <w:r w:rsidRPr="00E844A8">
              <w:rPr>
                <w:rFonts w:eastAsia="Times New Roman"/>
              </w:rPr>
              <w:t>2012</w:t>
            </w:r>
          </w:p>
        </w:tc>
      </w:tr>
      <w:tr w:rsidR="00E97595"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E97595" w:rsidRPr="008D6141" w:rsidRDefault="00E97595" w:rsidP="00E97595">
            <w:pPr>
              <w:rPr>
                <w:rFonts w:eastAsia="Times New Roman"/>
              </w:rPr>
            </w:pPr>
            <w:r w:rsidRPr="008D6141">
              <w:rPr>
                <w:rFonts w:eastAsia="Times New Roman"/>
              </w:rPr>
              <w:t>Gambling Past Year: Game of Skill</w:t>
            </w:r>
          </w:p>
        </w:tc>
        <w:tc>
          <w:tcPr>
            <w:tcW w:w="1854" w:type="pct"/>
            <w:noWrap/>
            <w:hideMark/>
          </w:tcPr>
          <w:p w:rsidR="00E97595" w:rsidRPr="008D6141" w:rsidRDefault="00E97595" w:rsidP="00E97595">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noWrap/>
            <w:hideMark/>
          </w:tcPr>
          <w:p w:rsidR="00E97595" w:rsidRDefault="00E97595" w:rsidP="00E97595">
            <w:pPr>
              <w:cnfStyle w:val="000000000000" w:firstRow="0" w:lastRow="0" w:firstColumn="0" w:lastColumn="0" w:oddVBand="0" w:evenVBand="0" w:oddHBand="0" w:evenHBand="0" w:firstRowFirstColumn="0" w:firstRowLastColumn="0" w:lastRowFirstColumn="0" w:lastRowLastColumn="0"/>
            </w:pPr>
            <w:r w:rsidRPr="00E844A8">
              <w:rPr>
                <w:rFonts w:eastAsia="Times New Roman"/>
              </w:rPr>
              <w:t>2012</w:t>
            </w:r>
          </w:p>
        </w:tc>
      </w:tr>
      <w:tr w:rsidR="00E97595"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E97595" w:rsidRPr="008D6141" w:rsidRDefault="00E97595" w:rsidP="00E97595">
            <w:pPr>
              <w:rPr>
                <w:rFonts w:eastAsia="Times New Roman"/>
              </w:rPr>
            </w:pPr>
            <w:r w:rsidRPr="008D6141">
              <w:rPr>
                <w:rFonts w:eastAsia="Times New Roman"/>
              </w:rPr>
              <w:t>Gambling Past Year: Slot Machines</w:t>
            </w:r>
          </w:p>
        </w:tc>
        <w:tc>
          <w:tcPr>
            <w:tcW w:w="1854" w:type="pct"/>
            <w:tcBorders>
              <w:top w:val="none" w:sz="0" w:space="0" w:color="auto"/>
              <w:bottom w:val="none" w:sz="0" w:space="0" w:color="auto"/>
            </w:tcBorders>
            <w:noWrap/>
            <w:hideMark/>
          </w:tcPr>
          <w:p w:rsidR="00E97595" w:rsidRPr="008D6141" w:rsidRDefault="00E97595" w:rsidP="00E97595">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tcBorders>
              <w:top w:val="none" w:sz="0" w:space="0" w:color="auto"/>
              <w:bottom w:val="none" w:sz="0" w:space="0" w:color="auto"/>
              <w:right w:val="none" w:sz="0" w:space="0" w:color="auto"/>
            </w:tcBorders>
            <w:noWrap/>
            <w:hideMark/>
          </w:tcPr>
          <w:p w:rsidR="00E97595" w:rsidRDefault="00E97595" w:rsidP="00E97595">
            <w:pPr>
              <w:cnfStyle w:val="000000100000" w:firstRow="0" w:lastRow="0" w:firstColumn="0" w:lastColumn="0" w:oddVBand="0" w:evenVBand="0" w:oddHBand="1" w:evenHBand="0" w:firstRowFirstColumn="0" w:firstRowLastColumn="0" w:lastRowFirstColumn="0" w:lastRowLastColumn="0"/>
            </w:pPr>
            <w:r w:rsidRPr="00E844A8">
              <w:rPr>
                <w:rFonts w:eastAsia="Times New Roman"/>
              </w:rPr>
              <w:t>2012</w:t>
            </w:r>
          </w:p>
        </w:tc>
      </w:tr>
      <w:tr w:rsidR="00E97595"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E97595" w:rsidRPr="008D6141" w:rsidRDefault="00E97595" w:rsidP="00E97595">
            <w:pPr>
              <w:rPr>
                <w:rFonts w:eastAsia="Times New Roman"/>
              </w:rPr>
            </w:pPr>
            <w:r w:rsidRPr="008D6141">
              <w:rPr>
                <w:rFonts w:eastAsia="Times New Roman"/>
              </w:rPr>
              <w:t xml:space="preserve">Youth Community Low Neighborhood Attachment </w:t>
            </w:r>
          </w:p>
        </w:tc>
        <w:tc>
          <w:tcPr>
            <w:tcW w:w="1854" w:type="pct"/>
            <w:noWrap/>
            <w:hideMark/>
          </w:tcPr>
          <w:p w:rsidR="00E97595" w:rsidRPr="008D6141" w:rsidRDefault="00E97595" w:rsidP="00E97595">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noWrap/>
            <w:hideMark/>
          </w:tcPr>
          <w:p w:rsidR="00E97595" w:rsidRDefault="00E97595" w:rsidP="00E97595">
            <w:pPr>
              <w:cnfStyle w:val="000000000000" w:firstRow="0" w:lastRow="0" w:firstColumn="0" w:lastColumn="0" w:oddVBand="0" w:evenVBand="0" w:oddHBand="0" w:evenHBand="0" w:firstRowFirstColumn="0" w:firstRowLastColumn="0" w:lastRowFirstColumn="0" w:lastRowLastColumn="0"/>
            </w:pPr>
            <w:r w:rsidRPr="00E844A8">
              <w:rPr>
                <w:rFonts w:eastAsia="Times New Roman"/>
              </w:rPr>
              <w:t>2012</w:t>
            </w:r>
          </w:p>
        </w:tc>
      </w:tr>
      <w:tr w:rsidR="00E97595"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E97595" w:rsidRPr="008D6141" w:rsidRDefault="00E97595" w:rsidP="00E97595">
            <w:pPr>
              <w:rPr>
                <w:rFonts w:eastAsia="Times New Roman"/>
              </w:rPr>
            </w:pPr>
            <w:r w:rsidRPr="008D6141">
              <w:rPr>
                <w:rFonts w:eastAsia="Times New Roman"/>
              </w:rPr>
              <w:t>Youth Community Laws and Norms Favorable to Drug Use</w:t>
            </w:r>
          </w:p>
        </w:tc>
        <w:tc>
          <w:tcPr>
            <w:tcW w:w="1854" w:type="pct"/>
            <w:tcBorders>
              <w:top w:val="none" w:sz="0" w:space="0" w:color="auto"/>
              <w:bottom w:val="none" w:sz="0" w:space="0" w:color="auto"/>
            </w:tcBorders>
            <w:noWrap/>
            <w:hideMark/>
          </w:tcPr>
          <w:p w:rsidR="00E97595" w:rsidRPr="008D6141" w:rsidRDefault="00E97595" w:rsidP="00E97595">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tcBorders>
              <w:top w:val="none" w:sz="0" w:space="0" w:color="auto"/>
              <w:bottom w:val="none" w:sz="0" w:space="0" w:color="auto"/>
              <w:right w:val="none" w:sz="0" w:space="0" w:color="auto"/>
            </w:tcBorders>
            <w:noWrap/>
            <w:hideMark/>
          </w:tcPr>
          <w:p w:rsidR="00E97595" w:rsidRDefault="00E97595" w:rsidP="00E97595">
            <w:pPr>
              <w:cnfStyle w:val="000000100000" w:firstRow="0" w:lastRow="0" w:firstColumn="0" w:lastColumn="0" w:oddVBand="0" w:evenVBand="0" w:oddHBand="1" w:evenHBand="0" w:firstRowFirstColumn="0" w:firstRowLastColumn="0" w:lastRowFirstColumn="0" w:lastRowLastColumn="0"/>
            </w:pPr>
            <w:r w:rsidRPr="00E844A8">
              <w:rPr>
                <w:rFonts w:eastAsia="Times New Roman"/>
              </w:rPr>
              <w:t>2012</w:t>
            </w:r>
          </w:p>
        </w:tc>
      </w:tr>
      <w:tr w:rsidR="00E97595"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E97595" w:rsidRPr="008D6141" w:rsidRDefault="00E97595" w:rsidP="00E97595">
            <w:pPr>
              <w:rPr>
                <w:rFonts w:eastAsia="Times New Roman"/>
              </w:rPr>
            </w:pPr>
            <w:r w:rsidRPr="008D6141">
              <w:rPr>
                <w:rFonts w:eastAsia="Times New Roman"/>
              </w:rPr>
              <w:t xml:space="preserve">Youth Perceived Availability of Drugs </w:t>
            </w:r>
          </w:p>
        </w:tc>
        <w:tc>
          <w:tcPr>
            <w:tcW w:w="1854" w:type="pct"/>
            <w:noWrap/>
            <w:hideMark/>
          </w:tcPr>
          <w:p w:rsidR="00E97595" w:rsidRPr="008D6141" w:rsidRDefault="00E97595" w:rsidP="00E97595">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noWrap/>
            <w:hideMark/>
          </w:tcPr>
          <w:p w:rsidR="00E97595" w:rsidRDefault="00E97595" w:rsidP="00E97595">
            <w:pPr>
              <w:cnfStyle w:val="000000000000" w:firstRow="0" w:lastRow="0" w:firstColumn="0" w:lastColumn="0" w:oddVBand="0" w:evenVBand="0" w:oddHBand="0" w:evenHBand="0" w:firstRowFirstColumn="0" w:firstRowLastColumn="0" w:lastRowFirstColumn="0" w:lastRowLastColumn="0"/>
            </w:pPr>
            <w:r w:rsidRPr="00E844A8">
              <w:rPr>
                <w:rFonts w:eastAsia="Times New Roman"/>
              </w:rPr>
              <w:t>2012</w:t>
            </w:r>
          </w:p>
        </w:tc>
      </w:tr>
      <w:tr w:rsidR="00E97595"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E97595" w:rsidRPr="008D6141" w:rsidRDefault="00E97595" w:rsidP="00E97595">
            <w:pPr>
              <w:rPr>
                <w:rFonts w:eastAsia="Times New Roman"/>
              </w:rPr>
            </w:pPr>
            <w:r w:rsidRPr="008D6141">
              <w:rPr>
                <w:rFonts w:eastAsia="Times New Roman"/>
              </w:rPr>
              <w:lastRenderedPageBreak/>
              <w:t>Youth Perceived Availability of Guns</w:t>
            </w:r>
          </w:p>
        </w:tc>
        <w:tc>
          <w:tcPr>
            <w:tcW w:w="1854" w:type="pct"/>
            <w:tcBorders>
              <w:top w:val="none" w:sz="0" w:space="0" w:color="auto"/>
              <w:bottom w:val="none" w:sz="0" w:space="0" w:color="auto"/>
            </w:tcBorders>
            <w:noWrap/>
            <w:hideMark/>
          </w:tcPr>
          <w:p w:rsidR="00E97595" w:rsidRPr="008D6141" w:rsidRDefault="00E97595" w:rsidP="00E97595">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tcBorders>
              <w:top w:val="none" w:sz="0" w:space="0" w:color="auto"/>
              <w:bottom w:val="none" w:sz="0" w:space="0" w:color="auto"/>
              <w:right w:val="none" w:sz="0" w:space="0" w:color="auto"/>
            </w:tcBorders>
            <w:noWrap/>
            <w:hideMark/>
          </w:tcPr>
          <w:p w:rsidR="00E97595" w:rsidRDefault="00E97595" w:rsidP="00E97595">
            <w:pPr>
              <w:cnfStyle w:val="000000100000" w:firstRow="0" w:lastRow="0" w:firstColumn="0" w:lastColumn="0" w:oddVBand="0" w:evenVBand="0" w:oddHBand="1" w:evenHBand="0" w:firstRowFirstColumn="0" w:firstRowLastColumn="0" w:lastRowFirstColumn="0" w:lastRowLastColumn="0"/>
            </w:pPr>
            <w:r w:rsidRPr="00E844A8">
              <w:rPr>
                <w:rFonts w:eastAsia="Times New Roman"/>
              </w:rPr>
              <w:t>2012</w:t>
            </w:r>
          </w:p>
        </w:tc>
      </w:tr>
      <w:tr w:rsidR="00E97595"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E97595" w:rsidRPr="008D6141" w:rsidRDefault="00E97595" w:rsidP="00E97595">
            <w:pPr>
              <w:rPr>
                <w:rFonts w:eastAsia="Times New Roman"/>
              </w:rPr>
            </w:pPr>
            <w:r w:rsidRPr="008D6141">
              <w:rPr>
                <w:rFonts w:eastAsia="Times New Roman"/>
              </w:rPr>
              <w:t xml:space="preserve">Youth Poor Family Management </w:t>
            </w:r>
          </w:p>
        </w:tc>
        <w:tc>
          <w:tcPr>
            <w:tcW w:w="1854" w:type="pct"/>
            <w:noWrap/>
            <w:hideMark/>
          </w:tcPr>
          <w:p w:rsidR="00E97595" w:rsidRPr="008D6141" w:rsidRDefault="00E97595" w:rsidP="00E97595">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noWrap/>
            <w:hideMark/>
          </w:tcPr>
          <w:p w:rsidR="00E97595" w:rsidRDefault="00E97595" w:rsidP="00E97595">
            <w:pPr>
              <w:cnfStyle w:val="000000000000" w:firstRow="0" w:lastRow="0" w:firstColumn="0" w:lastColumn="0" w:oddVBand="0" w:evenVBand="0" w:oddHBand="0" w:evenHBand="0" w:firstRowFirstColumn="0" w:firstRowLastColumn="0" w:lastRowFirstColumn="0" w:lastRowLastColumn="0"/>
            </w:pPr>
            <w:r w:rsidRPr="00E844A8">
              <w:rPr>
                <w:rFonts w:eastAsia="Times New Roman"/>
              </w:rPr>
              <w:t>2012</w:t>
            </w:r>
          </w:p>
        </w:tc>
      </w:tr>
      <w:tr w:rsidR="00E97595"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E97595" w:rsidRPr="008D6141" w:rsidRDefault="00E97595" w:rsidP="00E97595">
            <w:pPr>
              <w:rPr>
                <w:rFonts w:eastAsia="Times New Roman"/>
              </w:rPr>
            </w:pPr>
            <w:r w:rsidRPr="008D6141">
              <w:rPr>
                <w:rFonts w:eastAsia="Times New Roman"/>
              </w:rPr>
              <w:t>Youth Family Conflict</w:t>
            </w:r>
          </w:p>
        </w:tc>
        <w:tc>
          <w:tcPr>
            <w:tcW w:w="1854" w:type="pct"/>
            <w:tcBorders>
              <w:top w:val="none" w:sz="0" w:space="0" w:color="auto"/>
              <w:bottom w:val="none" w:sz="0" w:space="0" w:color="auto"/>
            </w:tcBorders>
            <w:noWrap/>
            <w:hideMark/>
          </w:tcPr>
          <w:p w:rsidR="00E97595" w:rsidRPr="008D6141" w:rsidRDefault="00E97595" w:rsidP="00E97595">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tcBorders>
              <w:top w:val="none" w:sz="0" w:space="0" w:color="auto"/>
              <w:bottom w:val="none" w:sz="0" w:space="0" w:color="auto"/>
              <w:right w:val="none" w:sz="0" w:space="0" w:color="auto"/>
            </w:tcBorders>
            <w:noWrap/>
            <w:hideMark/>
          </w:tcPr>
          <w:p w:rsidR="00E97595" w:rsidRDefault="00E97595" w:rsidP="00E97595">
            <w:pPr>
              <w:cnfStyle w:val="000000100000" w:firstRow="0" w:lastRow="0" w:firstColumn="0" w:lastColumn="0" w:oddVBand="0" w:evenVBand="0" w:oddHBand="1" w:evenHBand="0" w:firstRowFirstColumn="0" w:firstRowLastColumn="0" w:lastRowFirstColumn="0" w:lastRowLastColumn="0"/>
            </w:pPr>
            <w:r w:rsidRPr="00E844A8">
              <w:rPr>
                <w:rFonts w:eastAsia="Times New Roman"/>
              </w:rPr>
              <w:t>2012</w:t>
            </w:r>
          </w:p>
        </w:tc>
      </w:tr>
      <w:tr w:rsidR="00E97595"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E97595" w:rsidRPr="008D6141" w:rsidRDefault="00E97595" w:rsidP="00E97595">
            <w:pPr>
              <w:rPr>
                <w:rFonts w:eastAsia="Times New Roman"/>
              </w:rPr>
            </w:pPr>
            <w:r w:rsidRPr="008D6141">
              <w:rPr>
                <w:rFonts w:eastAsia="Times New Roman"/>
              </w:rPr>
              <w:t xml:space="preserve">Youth Family History of Antisocial Behavior </w:t>
            </w:r>
          </w:p>
        </w:tc>
        <w:tc>
          <w:tcPr>
            <w:tcW w:w="1854" w:type="pct"/>
            <w:noWrap/>
            <w:hideMark/>
          </w:tcPr>
          <w:p w:rsidR="00E97595" w:rsidRPr="008D6141" w:rsidRDefault="00E97595" w:rsidP="00E97595">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noWrap/>
            <w:hideMark/>
          </w:tcPr>
          <w:p w:rsidR="00E97595" w:rsidRDefault="00E97595" w:rsidP="00E97595">
            <w:pPr>
              <w:cnfStyle w:val="000000000000" w:firstRow="0" w:lastRow="0" w:firstColumn="0" w:lastColumn="0" w:oddVBand="0" w:evenVBand="0" w:oddHBand="0" w:evenHBand="0" w:firstRowFirstColumn="0" w:firstRowLastColumn="0" w:lastRowFirstColumn="0" w:lastRowLastColumn="0"/>
            </w:pPr>
            <w:r w:rsidRPr="00E844A8">
              <w:rPr>
                <w:rFonts w:eastAsia="Times New Roman"/>
              </w:rPr>
              <w:t>2012</w:t>
            </w:r>
          </w:p>
        </w:tc>
      </w:tr>
      <w:tr w:rsidR="00E97595"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E97595" w:rsidRPr="008D6141" w:rsidRDefault="00E97595" w:rsidP="00E97595">
            <w:pPr>
              <w:rPr>
                <w:rFonts w:eastAsia="Times New Roman"/>
              </w:rPr>
            </w:pPr>
            <w:r w:rsidRPr="008D6141">
              <w:rPr>
                <w:rFonts w:eastAsia="Times New Roman"/>
              </w:rPr>
              <w:t>Youth Parental Attitudes Favorable Toward Antisocial Behavior</w:t>
            </w:r>
          </w:p>
        </w:tc>
        <w:tc>
          <w:tcPr>
            <w:tcW w:w="1854" w:type="pct"/>
            <w:tcBorders>
              <w:top w:val="none" w:sz="0" w:space="0" w:color="auto"/>
              <w:bottom w:val="none" w:sz="0" w:space="0" w:color="auto"/>
            </w:tcBorders>
            <w:noWrap/>
            <w:hideMark/>
          </w:tcPr>
          <w:p w:rsidR="00E97595" w:rsidRPr="008D6141" w:rsidRDefault="00E97595" w:rsidP="00E97595">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tcBorders>
              <w:top w:val="none" w:sz="0" w:space="0" w:color="auto"/>
              <w:bottom w:val="none" w:sz="0" w:space="0" w:color="auto"/>
              <w:right w:val="none" w:sz="0" w:space="0" w:color="auto"/>
            </w:tcBorders>
            <w:noWrap/>
            <w:hideMark/>
          </w:tcPr>
          <w:p w:rsidR="00E97595" w:rsidRDefault="00E97595" w:rsidP="00E97595">
            <w:pPr>
              <w:cnfStyle w:val="000000100000" w:firstRow="0" w:lastRow="0" w:firstColumn="0" w:lastColumn="0" w:oddVBand="0" w:evenVBand="0" w:oddHBand="1" w:evenHBand="0" w:firstRowFirstColumn="0" w:firstRowLastColumn="0" w:lastRowFirstColumn="0" w:lastRowLastColumn="0"/>
            </w:pPr>
            <w:r w:rsidRPr="00E844A8">
              <w:rPr>
                <w:rFonts w:eastAsia="Times New Roman"/>
              </w:rPr>
              <w:t>2012</w:t>
            </w:r>
          </w:p>
        </w:tc>
      </w:tr>
      <w:tr w:rsidR="00E97595"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E97595" w:rsidRPr="008D6141" w:rsidRDefault="00E97595" w:rsidP="00E97595">
            <w:pPr>
              <w:rPr>
                <w:rFonts w:eastAsia="Times New Roman"/>
              </w:rPr>
            </w:pPr>
            <w:r w:rsidRPr="008D6141">
              <w:rPr>
                <w:rFonts w:eastAsia="Times New Roman"/>
              </w:rPr>
              <w:t>Youth Parental Attitudes Favorable Toward Drug Use</w:t>
            </w:r>
          </w:p>
        </w:tc>
        <w:tc>
          <w:tcPr>
            <w:tcW w:w="1854" w:type="pct"/>
            <w:noWrap/>
            <w:hideMark/>
          </w:tcPr>
          <w:p w:rsidR="00E97595" w:rsidRPr="008D6141" w:rsidRDefault="00E97595" w:rsidP="00E97595">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noWrap/>
            <w:hideMark/>
          </w:tcPr>
          <w:p w:rsidR="00E97595" w:rsidRDefault="00E97595" w:rsidP="00E97595">
            <w:pPr>
              <w:cnfStyle w:val="000000000000" w:firstRow="0" w:lastRow="0" w:firstColumn="0" w:lastColumn="0" w:oddVBand="0" w:evenVBand="0" w:oddHBand="0" w:evenHBand="0" w:firstRowFirstColumn="0" w:firstRowLastColumn="0" w:lastRowFirstColumn="0" w:lastRowLastColumn="0"/>
            </w:pPr>
            <w:r w:rsidRPr="00E844A8">
              <w:rPr>
                <w:rFonts w:eastAsia="Times New Roman"/>
              </w:rPr>
              <w:t>2012</w:t>
            </w:r>
          </w:p>
        </w:tc>
      </w:tr>
      <w:tr w:rsidR="00E97595"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E97595" w:rsidRPr="008D6141" w:rsidRDefault="00E97595" w:rsidP="00E97595">
            <w:pPr>
              <w:rPr>
                <w:rFonts w:eastAsia="Times New Roman"/>
              </w:rPr>
            </w:pPr>
            <w:r w:rsidRPr="008D6141">
              <w:rPr>
                <w:rFonts w:eastAsia="Times New Roman"/>
              </w:rPr>
              <w:t>Youth Academic Failure</w:t>
            </w:r>
          </w:p>
        </w:tc>
        <w:tc>
          <w:tcPr>
            <w:tcW w:w="1854" w:type="pct"/>
            <w:tcBorders>
              <w:top w:val="none" w:sz="0" w:space="0" w:color="auto"/>
              <w:bottom w:val="none" w:sz="0" w:space="0" w:color="auto"/>
            </w:tcBorders>
            <w:noWrap/>
            <w:hideMark/>
          </w:tcPr>
          <w:p w:rsidR="00E97595" w:rsidRPr="008D6141" w:rsidRDefault="00E97595" w:rsidP="00E97595">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tcBorders>
              <w:top w:val="none" w:sz="0" w:space="0" w:color="auto"/>
              <w:bottom w:val="none" w:sz="0" w:space="0" w:color="auto"/>
              <w:right w:val="none" w:sz="0" w:space="0" w:color="auto"/>
            </w:tcBorders>
            <w:noWrap/>
            <w:hideMark/>
          </w:tcPr>
          <w:p w:rsidR="00E97595" w:rsidRDefault="00E97595" w:rsidP="00E97595">
            <w:pPr>
              <w:cnfStyle w:val="000000100000" w:firstRow="0" w:lastRow="0" w:firstColumn="0" w:lastColumn="0" w:oddVBand="0" w:evenVBand="0" w:oddHBand="1" w:evenHBand="0" w:firstRowFirstColumn="0" w:firstRowLastColumn="0" w:lastRowFirstColumn="0" w:lastRowLastColumn="0"/>
            </w:pPr>
            <w:r>
              <w:rPr>
                <w:rFonts w:eastAsia="Times New Roman"/>
              </w:rPr>
              <w:t>2012</w:t>
            </w:r>
          </w:p>
        </w:tc>
      </w:tr>
      <w:tr w:rsidR="00E97595"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E97595" w:rsidRPr="008D6141" w:rsidRDefault="00E97595" w:rsidP="00E97595">
            <w:pPr>
              <w:rPr>
                <w:rFonts w:eastAsia="Times New Roman"/>
              </w:rPr>
            </w:pPr>
            <w:r w:rsidRPr="008D6141">
              <w:rPr>
                <w:rFonts w:eastAsia="Times New Roman"/>
              </w:rPr>
              <w:t>Youth Low Commitment to School</w:t>
            </w:r>
          </w:p>
        </w:tc>
        <w:tc>
          <w:tcPr>
            <w:tcW w:w="1854" w:type="pct"/>
            <w:noWrap/>
            <w:hideMark/>
          </w:tcPr>
          <w:p w:rsidR="00E97595" w:rsidRPr="008D6141" w:rsidRDefault="00E97595" w:rsidP="00E97595">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noWrap/>
            <w:hideMark/>
          </w:tcPr>
          <w:p w:rsidR="00E97595" w:rsidRDefault="00E97595" w:rsidP="00E97595">
            <w:pPr>
              <w:cnfStyle w:val="000000000000" w:firstRow="0" w:lastRow="0" w:firstColumn="0" w:lastColumn="0" w:oddVBand="0" w:evenVBand="0" w:oddHBand="0" w:evenHBand="0" w:firstRowFirstColumn="0" w:firstRowLastColumn="0" w:lastRowFirstColumn="0" w:lastRowLastColumn="0"/>
            </w:pPr>
            <w:r w:rsidRPr="009A109D">
              <w:rPr>
                <w:rFonts w:eastAsia="Times New Roman"/>
              </w:rPr>
              <w:t>2012</w:t>
            </w:r>
          </w:p>
        </w:tc>
      </w:tr>
      <w:tr w:rsidR="00E97595"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E97595" w:rsidRPr="008D6141" w:rsidRDefault="00E97595" w:rsidP="00E97595">
            <w:pPr>
              <w:rPr>
                <w:rFonts w:eastAsia="Times New Roman"/>
              </w:rPr>
            </w:pPr>
            <w:r w:rsidRPr="008D6141">
              <w:rPr>
                <w:rFonts w:eastAsia="Times New Roman"/>
              </w:rPr>
              <w:t>Youth Rebelliousness</w:t>
            </w:r>
          </w:p>
        </w:tc>
        <w:tc>
          <w:tcPr>
            <w:tcW w:w="1854" w:type="pct"/>
            <w:tcBorders>
              <w:top w:val="none" w:sz="0" w:space="0" w:color="auto"/>
              <w:bottom w:val="none" w:sz="0" w:space="0" w:color="auto"/>
            </w:tcBorders>
            <w:noWrap/>
            <w:hideMark/>
          </w:tcPr>
          <w:p w:rsidR="00E97595" w:rsidRPr="008D6141" w:rsidRDefault="00E97595" w:rsidP="00E97595">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tcBorders>
              <w:top w:val="none" w:sz="0" w:space="0" w:color="auto"/>
              <w:bottom w:val="none" w:sz="0" w:space="0" w:color="auto"/>
              <w:right w:val="none" w:sz="0" w:space="0" w:color="auto"/>
            </w:tcBorders>
            <w:noWrap/>
            <w:hideMark/>
          </w:tcPr>
          <w:p w:rsidR="00E97595" w:rsidRDefault="00E97595" w:rsidP="00E97595">
            <w:pPr>
              <w:cnfStyle w:val="000000100000" w:firstRow="0" w:lastRow="0" w:firstColumn="0" w:lastColumn="0" w:oddVBand="0" w:evenVBand="0" w:oddHBand="1" w:evenHBand="0" w:firstRowFirstColumn="0" w:firstRowLastColumn="0" w:lastRowFirstColumn="0" w:lastRowLastColumn="0"/>
            </w:pPr>
            <w:r w:rsidRPr="009A109D">
              <w:rPr>
                <w:rFonts w:eastAsia="Times New Roman"/>
              </w:rPr>
              <w:t>2012</w:t>
            </w:r>
          </w:p>
        </w:tc>
      </w:tr>
      <w:tr w:rsidR="00E97595"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E97595" w:rsidRPr="008D6141" w:rsidRDefault="00E97595" w:rsidP="00E97595">
            <w:pPr>
              <w:rPr>
                <w:rFonts w:eastAsia="Times New Roman"/>
              </w:rPr>
            </w:pPr>
            <w:r w:rsidRPr="008D6141">
              <w:rPr>
                <w:rFonts w:eastAsia="Times New Roman"/>
              </w:rPr>
              <w:t>Youth Early Initiation of Antisocial Behavior</w:t>
            </w:r>
          </w:p>
        </w:tc>
        <w:tc>
          <w:tcPr>
            <w:tcW w:w="1854" w:type="pct"/>
            <w:noWrap/>
            <w:hideMark/>
          </w:tcPr>
          <w:p w:rsidR="00E97595" w:rsidRPr="008D6141" w:rsidRDefault="00E97595" w:rsidP="00E97595">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noWrap/>
            <w:hideMark/>
          </w:tcPr>
          <w:p w:rsidR="00E97595" w:rsidRDefault="00E97595" w:rsidP="00E97595">
            <w:pPr>
              <w:cnfStyle w:val="000000000000" w:firstRow="0" w:lastRow="0" w:firstColumn="0" w:lastColumn="0" w:oddVBand="0" w:evenVBand="0" w:oddHBand="0" w:evenHBand="0" w:firstRowFirstColumn="0" w:firstRowLastColumn="0" w:lastRowFirstColumn="0" w:lastRowLastColumn="0"/>
            </w:pPr>
            <w:r w:rsidRPr="009A109D">
              <w:rPr>
                <w:rFonts w:eastAsia="Times New Roman"/>
              </w:rPr>
              <w:t>2012</w:t>
            </w:r>
          </w:p>
        </w:tc>
      </w:tr>
      <w:tr w:rsidR="00E97595"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E97595" w:rsidRPr="008D6141" w:rsidRDefault="00E97595" w:rsidP="00E97595">
            <w:pPr>
              <w:rPr>
                <w:rFonts w:eastAsia="Times New Roman"/>
              </w:rPr>
            </w:pPr>
            <w:r w:rsidRPr="008D6141">
              <w:rPr>
                <w:rFonts w:eastAsia="Times New Roman"/>
              </w:rPr>
              <w:t>Youth Early Initiation of Drug Use</w:t>
            </w:r>
          </w:p>
        </w:tc>
        <w:tc>
          <w:tcPr>
            <w:tcW w:w="1854" w:type="pct"/>
            <w:tcBorders>
              <w:top w:val="none" w:sz="0" w:space="0" w:color="auto"/>
              <w:bottom w:val="none" w:sz="0" w:space="0" w:color="auto"/>
            </w:tcBorders>
            <w:noWrap/>
            <w:hideMark/>
          </w:tcPr>
          <w:p w:rsidR="00E97595" w:rsidRPr="008D6141" w:rsidRDefault="00E97595" w:rsidP="00E97595">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tcBorders>
              <w:top w:val="none" w:sz="0" w:space="0" w:color="auto"/>
              <w:bottom w:val="none" w:sz="0" w:space="0" w:color="auto"/>
              <w:right w:val="none" w:sz="0" w:space="0" w:color="auto"/>
            </w:tcBorders>
            <w:noWrap/>
            <w:hideMark/>
          </w:tcPr>
          <w:p w:rsidR="00E97595" w:rsidRDefault="00E97595" w:rsidP="00E97595">
            <w:pPr>
              <w:cnfStyle w:val="000000100000" w:firstRow="0" w:lastRow="0" w:firstColumn="0" w:lastColumn="0" w:oddVBand="0" w:evenVBand="0" w:oddHBand="1" w:evenHBand="0" w:firstRowFirstColumn="0" w:firstRowLastColumn="0" w:lastRowFirstColumn="0" w:lastRowLastColumn="0"/>
            </w:pPr>
            <w:r w:rsidRPr="009A109D">
              <w:rPr>
                <w:rFonts w:eastAsia="Times New Roman"/>
              </w:rPr>
              <w:t>2012</w:t>
            </w:r>
          </w:p>
        </w:tc>
      </w:tr>
      <w:tr w:rsidR="00E97595"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E97595" w:rsidRPr="008D6141" w:rsidRDefault="00E97595" w:rsidP="00E97595">
            <w:pPr>
              <w:rPr>
                <w:rFonts w:eastAsia="Times New Roman"/>
              </w:rPr>
            </w:pPr>
            <w:r w:rsidRPr="008D6141">
              <w:rPr>
                <w:rFonts w:eastAsia="Times New Roman"/>
              </w:rPr>
              <w:t>Youth Attitudes Favorable Toward Antisocial Behavior</w:t>
            </w:r>
          </w:p>
        </w:tc>
        <w:tc>
          <w:tcPr>
            <w:tcW w:w="1854" w:type="pct"/>
            <w:noWrap/>
            <w:hideMark/>
          </w:tcPr>
          <w:p w:rsidR="00E97595" w:rsidRPr="008D6141" w:rsidRDefault="00E97595" w:rsidP="00E97595">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noWrap/>
            <w:hideMark/>
          </w:tcPr>
          <w:p w:rsidR="00E97595" w:rsidRDefault="00E97595" w:rsidP="00E97595">
            <w:pPr>
              <w:cnfStyle w:val="000000000000" w:firstRow="0" w:lastRow="0" w:firstColumn="0" w:lastColumn="0" w:oddVBand="0" w:evenVBand="0" w:oddHBand="0" w:evenHBand="0" w:firstRowFirstColumn="0" w:firstRowLastColumn="0" w:lastRowFirstColumn="0" w:lastRowLastColumn="0"/>
            </w:pPr>
            <w:r w:rsidRPr="009A109D">
              <w:rPr>
                <w:rFonts w:eastAsia="Times New Roman"/>
              </w:rPr>
              <w:t>2012</w:t>
            </w:r>
          </w:p>
        </w:tc>
      </w:tr>
      <w:tr w:rsidR="00E97595"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E97595" w:rsidRPr="008D6141" w:rsidRDefault="00E97595" w:rsidP="00E97595">
            <w:pPr>
              <w:rPr>
                <w:rFonts w:eastAsia="Times New Roman"/>
              </w:rPr>
            </w:pPr>
            <w:r w:rsidRPr="008D6141">
              <w:rPr>
                <w:rFonts w:eastAsia="Times New Roman"/>
              </w:rPr>
              <w:t>Youth Favorable Attitudes Toward Drug Use</w:t>
            </w:r>
          </w:p>
        </w:tc>
        <w:tc>
          <w:tcPr>
            <w:tcW w:w="1854" w:type="pct"/>
            <w:tcBorders>
              <w:top w:val="none" w:sz="0" w:space="0" w:color="auto"/>
              <w:bottom w:val="none" w:sz="0" w:space="0" w:color="auto"/>
            </w:tcBorders>
            <w:noWrap/>
            <w:hideMark/>
          </w:tcPr>
          <w:p w:rsidR="00E97595" w:rsidRPr="008D6141" w:rsidRDefault="00E97595" w:rsidP="00E97595">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tcBorders>
              <w:top w:val="none" w:sz="0" w:space="0" w:color="auto"/>
              <w:bottom w:val="none" w:sz="0" w:space="0" w:color="auto"/>
              <w:right w:val="none" w:sz="0" w:space="0" w:color="auto"/>
            </w:tcBorders>
            <w:noWrap/>
            <w:hideMark/>
          </w:tcPr>
          <w:p w:rsidR="00E97595" w:rsidRDefault="00E97595" w:rsidP="00E97595">
            <w:pPr>
              <w:cnfStyle w:val="000000100000" w:firstRow="0" w:lastRow="0" w:firstColumn="0" w:lastColumn="0" w:oddVBand="0" w:evenVBand="0" w:oddHBand="1" w:evenHBand="0" w:firstRowFirstColumn="0" w:firstRowLastColumn="0" w:lastRowFirstColumn="0" w:lastRowLastColumn="0"/>
            </w:pPr>
            <w:r w:rsidRPr="009A109D">
              <w:rPr>
                <w:rFonts w:eastAsia="Times New Roman"/>
              </w:rPr>
              <w:t>2012</w:t>
            </w:r>
          </w:p>
        </w:tc>
      </w:tr>
      <w:tr w:rsidR="00E97595"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E97595" w:rsidRPr="008D6141" w:rsidRDefault="00E97595" w:rsidP="00E97595">
            <w:pPr>
              <w:rPr>
                <w:rFonts w:eastAsia="Times New Roman"/>
              </w:rPr>
            </w:pPr>
            <w:r w:rsidRPr="008D6141">
              <w:rPr>
                <w:rFonts w:eastAsia="Times New Roman"/>
              </w:rPr>
              <w:t>Youth Intentions to Use Drugs</w:t>
            </w:r>
          </w:p>
        </w:tc>
        <w:tc>
          <w:tcPr>
            <w:tcW w:w="1854" w:type="pct"/>
            <w:noWrap/>
            <w:hideMark/>
          </w:tcPr>
          <w:p w:rsidR="00E97595" w:rsidRPr="008D6141" w:rsidRDefault="00E97595" w:rsidP="00E97595">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noWrap/>
            <w:hideMark/>
          </w:tcPr>
          <w:p w:rsidR="00E97595" w:rsidRDefault="00E97595" w:rsidP="00E97595">
            <w:pPr>
              <w:cnfStyle w:val="000000000000" w:firstRow="0" w:lastRow="0" w:firstColumn="0" w:lastColumn="0" w:oddVBand="0" w:evenVBand="0" w:oddHBand="0" w:evenHBand="0" w:firstRowFirstColumn="0" w:firstRowLastColumn="0" w:lastRowFirstColumn="0" w:lastRowLastColumn="0"/>
            </w:pPr>
            <w:r w:rsidRPr="009A109D">
              <w:rPr>
                <w:rFonts w:eastAsia="Times New Roman"/>
              </w:rPr>
              <w:t>2012</w:t>
            </w:r>
          </w:p>
        </w:tc>
      </w:tr>
      <w:tr w:rsidR="00E97595"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E97595" w:rsidRPr="008D6141" w:rsidRDefault="00E97595" w:rsidP="00E97595">
            <w:pPr>
              <w:rPr>
                <w:rFonts w:eastAsia="Times New Roman"/>
              </w:rPr>
            </w:pPr>
            <w:r w:rsidRPr="008D6141">
              <w:rPr>
                <w:rFonts w:eastAsia="Times New Roman"/>
              </w:rPr>
              <w:t>Youth Perceived Risk of Drug Use</w:t>
            </w:r>
          </w:p>
        </w:tc>
        <w:tc>
          <w:tcPr>
            <w:tcW w:w="1854" w:type="pct"/>
            <w:tcBorders>
              <w:top w:val="none" w:sz="0" w:space="0" w:color="auto"/>
              <w:bottom w:val="none" w:sz="0" w:space="0" w:color="auto"/>
            </w:tcBorders>
            <w:noWrap/>
            <w:hideMark/>
          </w:tcPr>
          <w:p w:rsidR="00E97595" w:rsidRPr="008D6141" w:rsidRDefault="00E97595" w:rsidP="00E97595">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tcBorders>
              <w:top w:val="none" w:sz="0" w:space="0" w:color="auto"/>
              <w:bottom w:val="none" w:sz="0" w:space="0" w:color="auto"/>
              <w:right w:val="none" w:sz="0" w:space="0" w:color="auto"/>
            </w:tcBorders>
            <w:noWrap/>
            <w:hideMark/>
          </w:tcPr>
          <w:p w:rsidR="00E97595" w:rsidRDefault="00E97595" w:rsidP="00E97595">
            <w:pPr>
              <w:cnfStyle w:val="000000100000" w:firstRow="0" w:lastRow="0" w:firstColumn="0" w:lastColumn="0" w:oddVBand="0" w:evenVBand="0" w:oddHBand="1" w:evenHBand="0" w:firstRowFirstColumn="0" w:firstRowLastColumn="0" w:lastRowFirstColumn="0" w:lastRowLastColumn="0"/>
            </w:pPr>
            <w:r w:rsidRPr="009A109D">
              <w:rPr>
                <w:rFonts w:eastAsia="Times New Roman"/>
              </w:rPr>
              <w:t>2012</w:t>
            </w:r>
          </w:p>
        </w:tc>
      </w:tr>
      <w:tr w:rsidR="00E97595"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E97595" w:rsidRPr="008D6141" w:rsidRDefault="00E97595" w:rsidP="00E97595">
            <w:pPr>
              <w:rPr>
                <w:rFonts w:eastAsia="Times New Roman"/>
              </w:rPr>
            </w:pPr>
            <w:r w:rsidRPr="008D6141">
              <w:rPr>
                <w:rFonts w:eastAsia="Times New Roman"/>
              </w:rPr>
              <w:t>Youth Interaction with Antisocial Peers</w:t>
            </w:r>
          </w:p>
        </w:tc>
        <w:tc>
          <w:tcPr>
            <w:tcW w:w="1854" w:type="pct"/>
            <w:noWrap/>
            <w:hideMark/>
          </w:tcPr>
          <w:p w:rsidR="00E97595" w:rsidRPr="008D6141" w:rsidRDefault="00E97595" w:rsidP="00E97595">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noWrap/>
            <w:hideMark/>
          </w:tcPr>
          <w:p w:rsidR="00E97595" w:rsidRDefault="00E97595" w:rsidP="00E97595">
            <w:pPr>
              <w:cnfStyle w:val="000000000000" w:firstRow="0" w:lastRow="0" w:firstColumn="0" w:lastColumn="0" w:oddVBand="0" w:evenVBand="0" w:oddHBand="0" w:evenHBand="0" w:firstRowFirstColumn="0" w:firstRowLastColumn="0" w:lastRowFirstColumn="0" w:lastRowLastColumn="0"/>
            </w:pPr>
            <w:r w:rsidRPr="009A109D">
              <w:rPr>
                <w:rFonts w:eastAsia="Times New Roman"/>
              </w:rPr>
              <w:t>2012</w:t>
            </w:r>
          </w:p>
        </w:tc>
      </w:tr>
      <w:tr w:rsidR="00E97595"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E97595" w:rsidRPr="008D6141" w:rsidRDefault="00E97595" w:rsidP="00E97595">
            <w:pPr>
              <w:rPr>
                <w:rFonts w:eastAsia="Times New Roman"/>
              </w:rPr>
            </w:pPr>
            <w:r w:rsidRPr="008D6141">
              <w:rPr>
                <w:rFonts w:eastAsia="Times New Roman"/>
              </w:rPr>
              <w:t>Youth Friends Use of Drugs</w:t>
            </w:r>
          </w:p>
        </w:tc>
        <w:tc>
          <w:tcPr>
            <w:tcW w:w="1854" w:type="pct"/>
            <w:tcBorders>
              <w:top w:val="none" w:sz="0" w:space="0" w:color="auto"/>
              <w:bottom w:val="none" w:sz="0" w:space="0" w:color="auto"/>
            </w:tcBorders>
            <w:noWrap/>
            <w:hideMark/>
          </w:tcPr>
          <w:p w:rsidR="00E97595" w:rsidRPr="008D6141" w:rsidRDefault="00E97595" w:rsidP="00E97595">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tcBorders>
              <w:top w:val="none" w:sz="0" w:space="0" w:color="auto"/>
              <w:bottom w:val="none" w:sz="0" w:space="0" w:color="auto"/>
              <w:right w:val="none" w:sz="0" w:space="0" w:color="auto"/>
            </w:tcBorders>
            <w:noWrap/>
            <w:hideMark/>
          </w:tcPr>
          <w:p w:rsidR="00E97595" w:rsidRDefault="00E97595" w:rsidP="00E97595">
            <w:pPr>
              <w:cnfStyle w:val="000000100000" w:firstRow="0" w:lastRow="0" w:firstColumn="0" w:lastColumn="0" w:oddVBand="0" w:evenVBand="0" w:oddHBand="1" w:evenHBand="0" w:firstRowFirstColumn="0" w:firstRowLastColumn="0" w:lastRowFirstColumn="0" w:lastRowLastColumn="0"/>
            </w:pPr>
            <w:r w:rsidRPr="009A109D">
              <w:rPr>
                <w:rFonts w:eastAsia="Times New Roman"/>
              </w:rPr>
              <w:t>2012</w:t>
            </w:r>
          </w:p>
        </w:tc>
      </w:tr>
      <w:tr w:rsidR="00E97595"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E97595" w:rsidRPr="008D6141" w:rsidRDefault="00E97595" w:rsidP="00E97595">
            <w:pPr>
              <w:rPr>
                <w:rFonts w:eastAsia="Times New Roman"/>
              </w:rPr>
            </w:pPr>
            <w:r w:rsidRPr="008D6141">
              <w:rPr>
                <w:rFonts w:eastAsia="Times New Roman"/>
              </w:rPr>
              <w:t>Youth Rewards for Antisocial Behavior</w:t>
            </w:r>
          </w:p>
        </w:tc>
        <w:tc>
          <w:tcPr>
            <w:tcW w:w="1854" w:type="pct"/>
            <w:noWrap/>
            <w:hideMark/>
          </w:tcPr>
          <w:p w:rsidR="00E97595" w:rsidRPr="008D6141" w:rsidRDefault="00E97595" w:rsidP="00E97595">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noWrap/>
            <w:hideMark/>
          </w:tcPr>
          <w:p w:rsidR="00E97595" w:rsidRDefault="00E97595" w:rsidP="00E97595">
            <w:pPr>
              <w:cnfStyle w:val="000000000000" w:firstRow="0" w:lastRow="0" w:firstColumn="0" w:lastColumn="0" w:oddVBand="0" w:evenVBand="0" w:oddHBand="0" w:evenHBand="0" w:firstRowFirstColumn="0" w:firstRowLastColumn="0" w:lastRowFirstColumn="0" w:lastRowLastColumn="0"/>
            </w:pPr>
            <w:r w:rsidRPr="009A109D">
              <w:rPr>
                <w:rFonts w:eastAsia="Times New Roman"/>
              </w:rPr>
              <w:t>2012</w:t>
            </w:r>
          </w:p>
        </w:tc>
      </w:tr>
      <w:tr w:rsidR="00E97595"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E97595" w:rsidRPr="008D6141" w:rsidRDefault="00E97595" w:rsidP="00E97595">
            <w:pPr>
              <w:rPr>
                <w:rFonts w:eastAsia="Times New Roman"/>
              </w:rPr>
            </w:pPr>
            <w:r w:rsidRPr="008D6141">
              <w:rPr>
                <w:rFonts w:eastAsia="Times New Roman"/>
              </w:rPr>
              <w:t>Youth Depressive Symptoms Risk Scale</w:t>
            </w:r>
          </w:p>
        </w:tc>
        <w:tc>
          <w:tcPr>
            <w:tcW w:w="1854" w:type="pct"/>
            <w:tcBorders>
              <w:top w:val="none" w:sz="0" w:space="0" w:color="auto"/>
              <w:bottom w:val="none" w:sz="0" w:space="0" w:color="auto"/>
            </w:tcBorders>
            <w:noWrap/>
            <w:hideMark/>
          </w:tcPr>
          <w:p w:rsidR="00E97595" w:rsidRPr="008D6141" w:rsidRDefault="00E97595" w:rsidP="00E97595">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tcBorders>
              <w:top w:val="none" w:sz="0" w:space="0" w:color="auto"/>
              <w:bottom w:val="none" w:sz="0" w:space="0" w:color="auto"/>
              <w:right w:val="none" w:sz="0" w:space="0" w:color="auto"/>
            </w:tcBorders>
            <w:noWrap/>
            <w:hideMark/>
          </w:tcPr>
          <w:p w:rsidR="00E97595" w:rsidRDefault="00E97595" w:rsidP="00E97595">
            <w:pPr>
              <w:cnfStyle w:val="000000100000" w:firstRow="0" w:lastRow="0" w:firstColumn="0" w:lastColumn="0" w:oddVBand="0" w:evenVBand="0" w:oddHBand="1" w:evenHBand="0" w:firstRowFirstColumn="0" w:firstRowLastColumn="0" w:lastRowFirstColumn="0" w:lastRowLastColumn="0"/>
            </w:pPr>
            <w:r w:rsidRPr="009A109D">
              <w:rPr>
                <w:rFonts w:eastAsia="Times New Roman"/>
              </w:rPr>
              <w:t>2012</w:t>
            </w:r>
          </w:p>
        </w:tc>
      </w:tr>
      <w:tr w:rsidR="00E97595"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E97595" w:rsidRPr="008D6141" w:rsidRDefault="00E97595" w:rsidP="00E97595">
            <w:pPr>
              <w:rPr>
                <w:rFonts w:eastAsia="Times New Roman"/>
              </w:rPr>
            </w:pPr>
            <w:r w:rsidRPr="008D6141">
              <w:rPr>
                <w:rFonts w:eastAsia="Times New Roman"/>
              </w:rPr>
              <w:t>Youth Total Risk Scale Score</w:t>
            </w:r>
          </w:p>
        </w:tc>
        <w:tc>
          <w:tcPr>
            <w:tcW w:w="1854" w:type="pct"/>
            <w:noWrap/>
            <w:hideMark/>
          </w:tcPr>
          <w:p w:rsidR="00E97595" w:rsidRPr="008D6141" w:rsidRDefault="00E97595" w:rsidP="00E97595">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noWrap/>
            <w:hideMark/>
          </w:tcPr>
          <w:p w:rsidR="00E97595" w:rsidRDefault="00E97595" w:rsidP="00E97595">
            <w:pPr>
              <w:cnfStyle w:val="000000000000" w:firstRow="0" w:lastRow="0" w:firstColumn="0" w:lastColumn="0" w:oddVBand="0" w:evenVBand="0" w:oddHBand="0" w:evenHBand="0" w:firstRowFirstColumn="0" w:firstRowLastColumn="0" w:lastRowFirstColumn="0" w:lastRowLastColumn="0"/>
            </w:pPr>
            <w:r w:rsidRPr="009A109D">
              <w:rPr>
                <w:rFonts w:eastAsia="Times New Roman"/>
              </w:rPr>
              <w:t>2012</w:t>
            </w:r>
          </w:p>
        </w:tc>
      </w:tr>
      <w:tr w:rsidR="00E97595"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E97595" w:rsidRPr="008D6141" w:rsidRDefault="00E97595" w:rsidP="00E97595">
            <w:pPr>
              <w:rPr>
                <w:rFonts w:eastAsia="Times New Roman"/>
              </w:rPr>
            </w:pPr>
            <w:r w:rsidRPr="008D6141">
              <w:rPr>
                <w:rFonts w:eastAsia="Times New Roman"/>
              </w:rPr>
              <w:t xml:space="preserve">Youth Rewards for Community </w:t>
            </w:r>
            <w:proofErr w:type="spellStart"/>
            <w:r w:rsidRPr="008D6141">
              <w:rPr>
                <w:rFonts w:eastAsia="Times New Roman"/>
              </w:rPr>
              <w:t>Prosocial</w:t>
            </w:r>
            <w:proofErr w:type="spellEnd"/>
            <w:r w:rsidRPr="008D6141">
              <w:rPr>
                <w:rFonts w:eastAsia="Times New Roman"/>
              </w:rPr>
              <w:t xml:space="preserve"> Involvement</w:t>
            </w:r>
          </w:p>
        </w:tc>
        <w:tc>
          <w:tcPr>
            <w:tcW w:w="1854" w:type="pct"/>
            <w:tcBorders>
              <w:top w:val="none" w:sz="0" w:space="0" w:color="auto"/>
              <w:bottom w:val="none" w:sz="0" w:space="0" w:color="auto"/>
            </w:tcBorders>
            <w:noWrap/>
            <w:hideMark/>
          </w:tcPr>
          <w:p w:rsidR="00E97595" w:rsidRPr="008D6141" w:rsidRDefault="00E97595" w:rsidP="00E97595">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tcBorders>
              <w:top w:val="none" w:sz="0" w:space="0" w:color="auto"/>
              <w:bottom w:val="none" w:sz="0" w:space="0" w:color="auto"/>
              <w:right w:val="none" w:sz="0" w:space="0" w:color="auto"/>
            </w:tcBorders>
            <w:noWrap/>
            <w:hideMark/>
          </w:tcPr>
          <w:p w:rsidR="00E97595" w:rsidRDefault="00E97595" w:rsidP="00E97595">
            <w:pPr>
              <w:cnfStyle w:val="000000100000" w:firstRow="0" w:lastRow="0" w:firstColumn="0" w:lastColumn="0" w:oddVBand="0" w:evenVBand="0" w:oddHBand="1" w:evenHBand="0" w:firstRowFirstColumn="0" w:firstRowLastColumn="0" w:lastRowFirstColumn="0" w:lastRowLastColumn="0"/>
            </w:pPr>
            <w:r w:rsidRPr="009A109D">
              <w:rPr>
                <w:rFonts w:eastAsia="Times New Roman"/>
              </w:rPr>
              <w:t>2012</w:t>
            </w:r>
          </w:p>
        </w:tc>
      </w:tr>
      <w:tr w:rsidR="00E97595"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E97595" w:rsidRPr="008D6141" w:rsidRDefault="00E97595" w:rsidP="00E97595">
            <w:pPr>
              <w:rPr>
                <w:rFonts w:eastAsia="Times New Roman"/>
              </w:rPr>
            </w:pPr>
            <w:r w:rsidRPr="008D6141">
              <w:rPr>
                <w:rFonts w:eastAsia="Times New Roman"/>
              </w:rPr>
              <w:t>Youth Family Attachment</w:t>
            </w:r>
          </w:p>
        </w:tc>
        <w:tc>
          <w:tcPr>
            <w:tcW w:w="1854" w:type="pct"/>
            <w:noWrap/>
            <w:hideMark/>
          </w:tcPr>
          <w:p w:rsidR="00E97595" w:rsidRPr="008D6141" w:rsidRDefault="00E97595" w:rsidP="00E97595">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noWrap/>
            <w:hideMark/>
          </w:tcPr>
          <w:p w:rsidR="00E97595" w:rsidRDefault="00E97595" w:rsidP="00E97595">
            <w:pPr>
              <w:cnfStyle w:val="000000000000" w:firstRow="0" w:lastRow="0" w:firstColumn="0" w:lastColumn="0" w:oddVBand="0" w:evenVBand="0" w:oddHBand="0" w:evenHBand="0" w:firstRowFirstColumn="0" w:firstRowLastColumn="0" w:lastRowFirstColumn="0" w:lastRowLastColumn="0"/>
            </w:pPr>
            <w:r w:rsidRPr="009A109D">
              <w:rPr>
                <w:rFonts w:eastAsia="Times New Roman"/>
              </w:rPr>
              <w:t>2012</w:t>
            </w:r>
          </w:p>
        </w:tc>
      </w:tr>
      <w:tr w:rsidR="00E97595"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E97595" w:rsidRPr="008D6141" w:rsidRDefault="00E97595" w:rsidP="00E97595">
            <w:pPr>
              <w:rPr>
                <w:rFonts w:eastAsia="Times New Roman"/>
              </w:rPr>
            </w:pPr>
            <w:r w:rsidRPr="008D6141">
              <w:rPr>
                <w:rFonts w:eastAsia="Times New Roman"/>
              </w:rPr>
              <w:t xml:space="preserve">Youth Family Opportunities for </w:t>
            </w:r>
            <w:proofErr w:type="spellStart"/>
            <w:r w:rsidRPr="008D6141">
              <w:rPr>
                <w:rFonts w:eastAsia="Times New Roman"/>
              </w:rPr>
              <w:t>Prosocial</w:t>
            </w:r>
            <w:proofErr w:type="spellEnd"/>
            <w:r w:rsidRPr="008D6141">
              <w:rPr>
                <w:rFonts w:eastAsia="Times New Roman"/>
              </w:rPr>
              <w:t xml:space="preserve"> Involvement</w:t>
            </w:r>
          </w:p>
        </w:tc>
        <w:tc>
          <w:tcPr>
            <w:tcW w:w="1854" w:type="pct"/>
            <w:tcBorders>
              <w:top w:val="none" w:sz="0" w:space="0" w:color="auto"/>
              <w:bottom w:val="none" w:sz="0" w:space="0" w:color="auto"/>
            </w:tcBorders>
            <w:noWrap/>
            <w:hideMark/>
          </w:tcPr>
          <w:p w:rsidR="00E97595" w:rsidRPr="008D6141" w:rsidRDefault="00E97595" w:rsidP="00E97595">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tcBorders>
              <w:top w:val="none" w:sz="0" w:space="0" w:color="auto"/>
              <w:bottom w:val="none" w:sz="0" w:space="0" w:color="auto"/>
              <w:right w:val="none" w:sz="0" w:space="0" w:color="auto"/>
            </w:tcBorders>
            <w:noWrap/>
            <w:hideMark/>
          </w:tcPr>
          <w:p w:rsidR="00E97595" w:rsidRDefault="00E97595" w:rsidP="00E97595">
            <w:pPr>
              <w:cnfStyle w:val="000000100000" w:firstRow="0" w:lastRow="0" w:firstColumn="0" w:lastColumn="0" w:oddVBand="0" w:evenVBand="0" w:oddHBand="1" w:evenHBand="0" w:firstRowFirstColumn="0" w:firstRowLastColumn="0" w:lastRowFirstColumn="0" w:lastRowLastColumn="0"/>
            </w:pPr>
            <w:r w:rsidRPr="009A109D">
              <w:rPr>
                <w:rFonts w:eastAsia="Times New Roman"/>
              </w:rPr>
              <w:t>2012</w:t>
            </w:r>
          </w:p>
        </w:tc>
      </w:tr>
      <w:tr w:rsidR="00E97595"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E97595" w:rsidRPr="008D6141" w:rsidRDefault="00E97595" w:rsidP="00E97595">
            <w:pPr>
              <w:rPr>
                <w:rFonts w:eastAsia="Times New Roman"/>
              </w:rPr>
            </w:pPr>
            <w:r w:rsidRPr="008D6141">
              <w:rPr>
                <w:rFonts w:eastAsia="Times New Roman"/>
              </w:rPr>
              <w:lastRenderedPageBreak/>
              <w:t xml:space="preserve">Youth Family Rewards for </w:t>
            </w:r>
            <w:proofErr w:type="spellStart"/>
            <w:r w:rsidRPr="008D6141">
              <w:rPr>
                <w:rFonts w:eastAsia="Times New Roman"/>
              </w:rPr>
              <w:t>Prosocial</w:t>
            </w:r>
            <w:proofErr w:type="spellEnd"/>
            <w:r w:rsidRPr="008D6141">
              <w:rPr>
                <w:rFonts w:eastAsia="Times New Roman"/>
              </w:rPr>
              <w:t xml:space="preserve"> Involvement</w:t>
            </w:r>
          </w:p>
        </w:tc>
        <w:tc>
          <w:tcPr>
            <w:tcW w:w="1854" w:type="pct"/>
            <w:noWrap/>
            <w:hideMark/>
          </w:tcPr>
          <w:p w:rsidR="00E97595" w:rsidRPr="008D6141" w:rsidRDefault="00E97595" w:rsidP="00E97595">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noWrap/>
            <w:hideMark/>
          </w:tcPr>
          <w:p w:rsidR="00E97595" w:rsidRDefault="00E97595" w:rsidP="00E97595">
            <w:pPr>
              <w:cnfStyle w:val="000000000000" w:firstRow="0" w:lastRow="0" w:firstColumn="0" w:lastColumn="0" w:oddVBand="0" w:evenVBand="0" w:oddHBand="0" w:evenHBand="0" w:firstRowFirstColumn="0" w:firstRowLastColumn="0" w:lastRowFirstColumn="0" w:lastRowLastColumn="0"/>
            </w:pPr>
            <w:r w:rsidRPr="009A109D">
              <w:rPr>
                <w:rFonts w:eastAsia="Times New Roman"/>
              </w:rPr>
              <w:t>2012</w:t>
            </w:r>
          </w:p>
        </w:tc>
      </w:tr>
      <w:tr w:rsidR="00E97595"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E97595" w:rsidRPr="008D6141" w:rsidRDefault="00E97595" w:rsidP="00E97595">
            <w:pPr>
              <w:rPr>
                <w:rFonts w:eastAsia="Times New Roman"/>
              </w:rPr>
            </w:pPr>
            <w:r w:rsidRPr="008D6141">
              <w:rPr>
                <w:rFonts w:eastAsia="Times New Roman"/>
              </w:rPr>
              <w:t xml:space="preserve">Youth School Opportunities for </w:t>
            </w:r>
            <w:proofErr w:type="spellStart"/>
            <w:r w:rsidRPr="008D6141">
              <w:rPr>
                <w:rFonts w:eastAsia="Times New Roman"/>
              </w:rPr>
              <w:t>Prosocial</w:t>
            </w:r>
            <w:proofErr w:type="spellEnd"/>
            <w:r w:rsidRPr="008D6141">
              <w:rPr>
                <w:rFonts w:eastAsia="Times New Roman"/>
              </w:rPr>
              <w:t xml:space="preserve"> Involvement</w:t>
            </w:r>
          </w:p>
        </w:tc>
        <w:tc>
          <w:tcPr>
            <w:tcW w:w="1854" w:type="pct"/>
            <w:tcBorders>
              <w:top w:val="none" w:sz="0" w:space="0" w:color="auto"/>
              <w:bottom w:val="none" w:sz="0" w:space="0" w:color="auto"/>
            </w:tcBorders>
            <w:noWrap/>
            <w:hideMark/>
          </w:tcPr>
          <w:p w:rsidR="00E97595" w:rsidRPr="008D6141" w:rsidRDefault="00E97595" w:rsidP="00E97595">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tcBorders>
              <w:top w:val="none" w:sz="0" w:space="0" w:color="auto"/>
              <w:bottom w:val="none" w:sz="0" w:space="0" w:color="auto"/>
              <w:right w:val="none" w:sz="0" w:space="0" w:color="auto"/>
            </w:tcBorders>
            <w:noWrap/>
            <w:hideMark/>
          </w:tcPr>
          <w:p w:rsidR="00E97595" w:rsidRDefault="00E97595" w:rsidP="00E97595">
            <w:pPr>
              <w:cnfStyle w:val="000000100000" w:firstRow="0" w:lastRow="0" w:firstColumn="0" w:lastColumn="0" w:oddVBand="0" w:evenVBand="0" w:oddHBand="1" w:evenHBand="0" w:firstRowFirstColumn="0" w:firstRowLastColumn="0" w:lastRowFirstColumn="0" w:lastRowLastColumn="0"/>
            </w:pPr>
            <w:r w:rsidRPr="009A109D">
              <w:rPr>
                <w:rFonts w:eastAsia="Times New Roman"/>
              </w:rPr>
              <w:t>2012</w:t>
            </w:r>
          </w:p>
        </w:tc>
      </w:tr>
      <w:tr w:rsidR="00E97595"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E97595" w:rsidRPr="008D6141" w:rsidRDefault="00E97595" w:rsidP="00E97595">
            <w:pPr>
              <w:rPr>
                <w:rFonts w:eastAsia="Times New Roman"/>
              </w:rPr>
            </w:pPr>
            <w:r w:rsidRPr="008D6141">
              <w:rPr>
                <w:rFonts w:eastAsia="Times New Roman"/>
              </w:rPr>
              <w:t xml:space="preserve">Youth School Rewards for </w:t>
            </w:r>
            <w:proofErr w:type="spellStart"/>
            <w:r w:rsidRPr="008D6141">
              <w:rPr>
                <w:rFonts w:eastAsia="Times New Roman"/>
              </w:rPr>
              <w:t>Prosocial</w:t>
            </w:r>
            <w:proofErr w:type="spellEnd"/>
            <w:r w:rsidRPr="008D6141">
              <w:rPr>
                <w:rFonts w:eastAsia="Times New Roman"/>
              </w:rPr>
              <w:t xml:space="preserve"> Involvement</w:t>
            </w:r>
          </w:p>
        </w:tc>
        <w:tc>
          <w:tcPr>
            <w:tcW w:w="1854" w:type="pct"/>
            <w:noWrap/>
            <w:hideMark/>
          </w:tcPr>
          <w:p w:rsidR="00E97595" w:rsidRPr="008D6141" w:rsidRDefault="00E97595" w:rsidP="00E97595">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noWrap/>
            <w:hideMark/>
          </w:tcPr>
          <w:p w:rsidR="00E97595" w:rsidRDefault="00E97595" w:rsidP="00E97595">
            <w:pPr>
              <w:cnfStyle w:val="000000000000" w:firstRow="0" w:lastRow="0" w:firstColumn="0" w:lastColumn="0" w:oddVBand="0" w:evenVBand="0" w:oddHBand="0" w:evenHBand="0" w:firstRowFirstColumn="0" w:firstRowLastColumn="0" w:lastRowFirstColumn="0" w:lastRowLastColumn="0"/>
            </w:pPr>
            <w:r w:rsidRPr="009A109D">
              <w:rPr>
                <w:rFonts w:eastAsia="Times New Roman"/>
              </w:rPr>
              <w:t>2012</w:t>
            </w:r>
          </w:p>
        </w:tc>
      </w:tr>
      <w:tr w:rsidR="00E97595"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E97595" w:rsidRPr="008D6141" w:rsidRDefault="00E97595" w:rsidP="00E97595">
            <w:pPr>
              <w:rPr>
                <w:rFonts w:eastAsia="Times New Roman"/>
              </w:rPr>
            </w:pPr>
            <w:r w:rsidRPr="008D6141">
              <w:rPr>
                <w:rFonts w:eastAsia="Times New Roman"/>
              </w:rPr>
              <w:t>Youth Belief in the Moral Order</w:t>
            </w:r>
          </w:p>
        </w:tc>
        <w:tc>
          <w:tcPr>
            <w:tcW w:w="1854" w:type="pct"/>
            <w:tcBorders>
              <w:top w:val="none" w:sz="0" w:space="0" w:color="auto"/>
              <w:bottom w:val="none" w:sz="0" w:space="0" w:color="auto"/>
            </w:tcBorders>
            <w:noWrap/>
            <w:hideMark/>
          </w:tcPr>
          <w:p w:rsidR="00E97595" w:rsidRPr="008D6141" w:rsidRDefault="00E97595" w:rsidP="00E97595">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tcBorders>
              <w:top w:val="none" w:sz="0" w:space="0" w:color="auto"/>
              <w:bottom w:val="none" w:sz="0" w:space="0" w:color="auto"/>
              <w:right w:val="none" w:sz="0" w:space="0" w:color="auto"/>
            </w:tcBorders>
            <w:noWrap/>
            <w:hideMark/>
          </w:tcPr>
          <w:p w:rsidR="00E97595" w:rsidRDefault="00E97595" w:rsidP="00E97595">
            <w:pPr>
              <w:cnfStyle w:val="000000100000" w:firstRow="0" w:lastRow="0" w:firstColumn="0" w:lastColumn="0" w:oddVBand="0" w:evenVBand="0" w:oddHBand="1" w:evenHBand="0" w:firstRowFirstColumn="0" w:firstRowLastColumn="0" w:lastRowFirstColumn="0" w:lastRowLastColumn="0"/>
            </w:pPr>
            <w:r w:rsidRPr="009A109D">
              <w:rPr>
                <w:rFonts w:eastAsia="Times New Roman"/>
              </w:rPr>
              <w:t>2012</w:t>
            </w:r>
          </w:p>
        </w:tc>
      </w:tr>
      <w:tr w:rsidR="00E97595"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E97595" w:rsidRPr="008D6141" w:rsidRDefault="00E97595" w:rsidP="00E97595">
            <w:pPr>
              <w:rPr>
                <w:rFonts w:eastAsia="Times New Roman"/>
              </w:rPr>
            </w:pPr>
            <w:r w:rsidRPr="008D6141">
              <w:rPr>
                <w:rFonts w:eastAsia="Times New Roman"/>
              </w:rPr>
              <w:t>Youth Religiosity</w:t>
            </w:r>
          </w:p>
        </w:tc>
        <w:tc>
          <w:tcPr>
            <w:tcW w:w="1854" w:type="pct"/>
            <w:noWrap/>
            <w:hideMark/>
          </w:tcPr>
          <w:p w:rsidR="00E97595" w:rsidRPr="008D6141" w:rsidRDefault="00E97595" w:rsidP="00E97595">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noWrap/>
            <w:hideMark/>
          </w:tcPr>
          <w:p w:rsidR="00E97595" w:rsidRDefault="00E97595" w:rsidP="00E97595">
            <w:pPr>
              <w:cnfStyle w:val="000000000000" w:firstRow="0" w:lastRow="0" w:firstColumn="0" w:lastColumn="0" w:oddVBand="0" w:evenVBand="0" w:oddHBand="0" w:evenHBand="0" w:firstRowFirstColumn="0" w:firstRowLastColumn="0" w:lastRowFirstColumn="0" w:lastRowLastColumn="0"/>
            </w:pPr>
            <w:r w:rsidRPr="009A109D">
              <w:rPr>
                <w:rFonts w:eastAsia="Times New Roman"/>
              </w:rPr>
              <w:t>2012</w:t>
            </w:r>
          </w:p>
        </w:tc>
      </w:tr>
      <w:tr w:rsidR="00E97595"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E97595" w:rsidRPr="008D6141" w:rsidRDefault="00E97595" w:rsidP="00E97595">
            <w:pPr>
              <w:rPr>
                <w:rFonts w:eastAsia="Times New Roman"/>
              </w:rPr>
            </w:pPr>
            <w:r w:rsidRPr="008D6141">
              <w:rPr>
                <w:rFonts w:eastAsia="Times New Roman"/>
              </w:rPr>
              <w:t xml:space="preserve">Youth Interaction with </w:t>
            </w:r>
            <w:proofErr w:type="spellStart"/>
            <w:r w:rsidRPr="008D6141">
              <w:rPr>
                <w:rFonts w:eastAsia="Times New Roman"/>
              </w:rPr>
              <w:t>Prosocial</w:t>
            </w:r>
            <w:proofErr w:type="spellEnd"/>
            <w:r w:rsidRPr="008D6141">
              <w:rPr>
                <w:rFonts w:eastAsia="Times New Roman"/>
              </w:rPr>
              <w:t xml:space="preserve"> Peers</w:t>
            </w:r>
          </w:p>
        </w:tc>
        <w:tc>
          <w:tcPr>
            <w:tcW w:w="1854" w:type="pct"/>
            <w:tcBorders>
              <w:top w:val="none" w:sz="0" w:space="0" w:color="auto"/>
              <w:bottom w:val="none" w:sz="0" w:space="0" w:color="auto"/>
            </w:tcBorders>
            <w:noWrap/>
            <w:hideMark/>
          </w:tcPr>
          <w:p w:rsidR="00E97595" w:rsidRPr="008D6141" w:rsidRDefault="00E97595" w:rsidP="00E97595">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tcBorders>
              <w:top w:val="none" w:sz="0" w:space="0" w:color="auto"/>
              <w:bottom w:val="none" w:sz="0" w:space="0" w:color="auto"/>
              <w:right w:val="none" w:sz="0" w:space="0" w:color="auto"/>
            </w:tcBorders>
            <w:noWrap/>
            <w:hideMark/>
          </w:tcPr>
          <w:p w:rsidR="00E97595" w:rsidRDefault="00E97595" w:rsidP="00E97595">
            <w:pPr>
              <w:cnfStyle w:val="000000100000" w:firstRow="0" w:lastRow="0" w:firstColumn="0" w:lastColumn="0" w:oddVBand="0" w:evenVBand="0" w:oddHBand="1" w:evenHBand="0" w:firstRowFirstColumn="0" w:firstRowLastColumn="0" w:lastRowFirstColumn="0" w:lastRowLastColumn="0"/>
            </w:pPr>
            <w:r w:rsidRPr="009A109D">
              <w:rPr>
                <w:rFonts w:eastAsia="Times New Roman"/>
              </w:rPr>
              <w:t>2012</w:t>
            </w:r>
          </w:p>
        </w:tc>
      </w:tr>
      <w:tr w:rsidR="00E97595"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E97595" w:rsidRPr="008D6141" w:rsidRDefault="00E97595" w:rsidP="00E97595">
            <w:pPr>
              <w:rPr>
                <w:rFonts w:eastAsia="Times New Roman"/>
              </w:rPr>
            </w:pPr>
            <w:r w:rsidRPr="008D6141">
              <w:rPr>
                <w:rFonts w:eastAsia="Times New Roman"/>
              </w:rPr>
              <w:t xml:space="preserve">Youth </w:t>
            </w:r>
            <w:proofErr w:type="spellStart"/>
            <w:r w:rsidRPr="008D6141">
              <w:rPr>
                <w:rFonts w:eastAsia="Times New Roman"/>
              </w:rPr>
              <w:t>Prosocial</w:t>
            </w:r>
            <w:proofErr w:type="spellEnd"/>
            <w:r w:rsidRPr="008D6141">
              <w:rPr>
                <w:rFonts w:eastAsia="Times New Roman"/>
              </w:rPr>
              <w:t xml:space="preserve"> Involvement</w:t>
            </w:r>
          </w:p>
        </w:tc>
        <w:tc>
          <w:tcPr>
            <w:tcW w:w="1854" w:type="pct"/>
            <w:noWrap/>
            <w:hideMark/>
          </w:tcPr>
          <w:p w:rsidR="00E97595" w:rsidRPr="008D6141" w:rsidRDefault="00E97595" w:rsidP="00E97595">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noWrap/>
            <w:hideMark/>
          </w:tcPr>
          <w:p w:rsidR="00E97595" w:rsidRDefault="00E97595" w:rsidP="00E97595">
            <w:pPr>
              <w:cnfStyle w:val="000000000000" w:firstRow="0" w:lastRow="0" w:firstColumn="0" w:lastColumn="0" w:oddVBand="0" w:evenVBand="0" w:oddHBand="0" w:evenHBand="0" w:firstRowFirstColumn="0" w:firstRowLastColumn="0" w:lastRowFirstColumn="0" w:lastRowLastColumn="0"/>
            </w:pPr>
            <w:r w:rsidRPr="009A109D">
              <w:rPr>
                <w:rFonts w:eastAsia="Times New Roman"/>
              </w:rPr>
              <w:t>2012</w:t>
            </w:r>
          </w:p>
        </w:tc>
      </w:tr>
      <w:tr w:rsidR="00E97595"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E97595" w:rsidRPr="008D6141" w:rsidRDefault="00E97595" w:rsidP="00E97595">
            <w:pPr>
              <w:rPr>
                <w:rFonts w:eastAsia="Times New Roman"/>
              </w:rPr>
            </w:pPr>
            <w:r w:rsidRPr="008D6141">
              <w:rPr>
                <w:rFonts w:eastAsia="Times New Roman"/>
              </w:rPr>
              <w:t xml:space="preserve">Youth Rewards for </w:t>
            </w:r>
            <w:proofErr w:type="spellStart"/>
            <w:r w:rsidRPr="008D6141">
              <w:rPr>
                <w:rFonts w:eastAsia="Times New Roman"/>
              </w:rPr>
              <w:t>Prosocial</w:t>
            </w:r>
            <w:proofErr w:type="spellEnd"/>
            <w:r w:rsidRPr="008D6141">
              <w:rPr>
                <w:rFonts w:eastAsia="Times New Roman"/>
              </w:rPr>
              <w:t xml:space="preserve"> Involvement</w:t>
            </w:r>
          </w:p>
        </w:tc>
        <w:tc>
          <w:tcPr>
            <w:tcW w:w="1854" w:type="pct"/>
            <w:tcBorders>
              <w:top w:val="none" w:sz="0" w:space="0" w:color="auto"/>
              <w:bottom w:val="none" w:sz="0" w:space="0" w:color="auto"/>
            </w:tcBorders>
            <w:noWrap/>
            <w:hideMark/>
          </w:tcPr>
          <w:p w:rsidR="00E97595" w:rsidRPr="008D6141" w:rsidRDefault="00E97595" w:rsidP="00E97595">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tcBorders>
              <w:top w:val="none" w:sz="0" w:space="0" w:color="auto"/>
              <w:bottom w:val="none" w:sz="0" w:space="0" w:color="auto"/>
              <w:right w:val="none" w:sz="0" w:space="0" w:color="auto"/>
            </w:tcBorders>
            <w:noWrap/>
            <w:hideMark/>
          </w:tcPr>
          <w:p w:rsidR="00E97595" w:rsidRDefault="00E97595" w:rsidP="00E97595">
            <w:pPr>
              <w:cnfStyle w:val="000000100000" w:firstRow="0" w:lastRow="0" w:firstColumn="0" w:lastColumn="0" w:oddVBand="0" w:evenVBand="0" w:oddHBand="1" w:evenHBand="0" w:firstRowFirstColumn="0" w:firstRowLastColumn="0" w:lastRowFirstColumn="0" w:lastRowLastColumn="0"/>
            </w:pPr>
            <w:r w:rsidRPr="009A109D">
              <w:rPr>
                <w:rFonts w:eastAsia="Times New Roman"/>
              </w:rPr>
              <w:t>2012</w:t>
            </w:r>
          </w:p>
        </w:tc>
      </w:tr>
      <w:tr w:rsidR="00E97595"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E97595" w:rsidRPr="008D6141" w:rsidRDefault="00E97595" w:rsidP="00E97595">
            <w:pPr>
              <w:rPr>
                <w:rFonts w:eastAsia="Times New Roman"/>
              </w:rPr>
            </w:pPr>
            <w:r w:rsidRPr="008D6141">
              <w:rPr>
                <w:rFonts w:eastAsia="Times New Roman"/>
              </w:rPr>
              <w:t>Youth Total Protection</w:t>
            </w:r>
          </w:p>
        </w:tc>
        <w:tc>
          <w:tcPr>
            <w:tcW w:w="1854" w:type="pct"/>
            <w:noWrap/>
            <w:hideMark/>
          </w:tcPr>
          <w:p w:rsidR="00E97595" w:rsidRPr="008D6141" w:rsidRDefault="00E97595" w:rsidP="00E97595">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noWrap/>
            <w:hideMark/>
          </w:tcPr>
          <w:p w:rsidR="00E97595" w:rsidRDefault="00E97595" w:rsidP="00E97595">
            <w:pPr>
              <w:cnfStyle w:val="000000000000" w:firstRow="0" w:lastRow="0" w:firstColumn="0" w:lastColumn="0" w:oddVBand="0" w:evenVBand="0" w:oddHBand="0" w:evenHBand="0" w:firstRowFirstColumn="0" w:firstRowLastColumn="0" w:lastRowFirstColumn="0" w:lastRowLastColumn="0"/>
            </w:pPr>
            <w:r w:rsidRPr="009A109D">
              <w:rPr>
                <w:rFonts w:eastAsia="Times New Roman"/>
              </w:rPr>
              <w:t>2012</w:t>
            </w:r>
          </w:p>
        </w:tc>
      </w:tr>
      <w:tr w:rsidR="00E97595"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E97595" w:rsidRPr="008D6141" w:rsidRDefault="00E97595" w:rsidP="00E97595">
            <w:pPr>
              <w:rPr>
                <w:rFonts w:eastAsia="Times New Roman"/>
              </w:rPr>
            </w:pPr>
            <w:r w:rsidRPr="008D6141">
              <w:rPr>
                <w:rFonts w:eastAsia="Times New Roman"/>
              </w:rPr>
              <w:t>Youth Obtain Alcohol: Fake ID</w:t>
            </w:r>
          </w:p>
        </w:tc>
        <w:tc>
          <w:tcPr>
            <w:tcW w:w="1854" w:type="pct"/>
            <w:tcBorders>
              <w:top w:val="none" w:sz="0" w:space="0" w:color="auto"/>
              <w:bottom w:val="none" w:sz="0" w:space="0" w:color="auto"/>
            </w:tcBorders>
            <w:noWrap/>
            <w:hideMark/>
          </w:tcPr>
          <w:p w:rsidR="00E97595" w:rsidRPr="008D6141" w:rsidRDefault="00E97595" w:rsidP="00E97595">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tcBorders>
              <w:top w:val="none" w:sz="0" w:space="0" w:color="auto"/>
              <w:bottom w:val="none" w:sz="0" w:space="0" w:color="auto"/>
              <w:right w:val="none" w:sz="0" w:space="0" w:color="auto"/>
            </w:tcBorders>
            <w:noWrap/>
            <w:hideMark/>
          </w:tcPr>
          <w:p w:rsidR="00E97595" w:rsidRDefault="00E97595" w:rsidP="00E97595">
            <w:pPr>
              <w:cnfStyle w:val="000000100000" w:firstRow="0" w:lastRow="0" w:firstColumn="0" w:lastColumn="0" w:oddVBand="0" w:evenVBand="0" w:oddHBand="1" w:evenHBand="0" w:firstRowFirstColumn="0" w:firstRowLastColumn="0" w:lastRowFirstColumn="0" w:lastRowLastColumn="0"/>
            </w:pPr>
            <w:r w:rsidRPr="009A109D">
              <w:rPr>
                <w:rFonts w:eastAsia="Times New Roman"/>
              </w:rPr>
              <w:t>2012</w:t>
            </w:r>
          </w:p>
        </w:tc>
      </w:tr>
      <w:tr w:rsidR="00E97595"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E97595" w:rsidRPr="008D6141" w:rsidRDefault="00E97595" w:rsidP="00E97595">
            <w:pPr>
              <w:rPr>
                <w:rFonts w:eastAsia="Times New Roman"/>
              </w:rPr>
            </w:pPr>
            <w:r w:rsidRPr="008D6141">
              <w:rPr>
                <w:rFonts w:eastAsia="Times New Roman"/>
              </w:rPr>
              <w:t>Youth Obtain Alcohol: Bought Without ID</w:t>
            </w:r>
          </w:p>
        </w:tc>
        <w:tc>
          <w:tcPr>
            <w:tcW w:w="1854" w:type="pct"/>
            <w:noWrap/>
            <w:hideMark/>
          </w:tcPr>
          <w:p w:rsidR="00E97595" w:rsidRPr="008D6141" w:rsidRDefault="00E97595" w:rsidP="00E97595">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noWrap/>
            <w:hideMark/>
          </w:tcPr>
          <w:p w:rsidR="00E97595" w:rsidRDefault="00E97595" w:rsidP="00E97595">
            <w:pPr>
              <w:cnfStyle w:val="000000000000" w:firstRow="0" w:lastRow="0" w:firstColumn="0" w:lastColumn="0" w:oddVBand="0" w:evenVBand="0" w:oddHBand="0" w:evenHBand="0" w:firstRowFirstColumn="0" w:firstRowLastColumn="0" w:lastRowFirstColumn="0" w:lastRowLastColumn="0"/>
            </w:pPr>
            <w:r w:rsidRPr="009A109D">
              <w:rPr>
                <w:rFonts w:eastAsia="Times New Roman"/>
              </w:rPr>
              <w:t>2012</w:t>
            </w:r>
          </w:p>
        </w:tc>
      </w:tr>
      <w:tr w:rsidR="00E97595"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E97595" w:rsidRPr="008D6141" w:rsidRDefault="00E97595" w:rsidP="00E97595">
            <w:pPr>
              <w:rPr>
                <w:rFonts w:eastAsia="Times New Roman"/>
              </w:rPr>
            </w:pPr>
            <w:r w:rsidRPr="008D6141">
              <w:rPr>
                <w:rFonts w:eastAsia="Times New Roman"/>
              </w:rPr>
              <w:t xml:space="preserve">Youth Obtain Alcohol: Someone over 21 </w:t>
            </w:r>
          </w:p>
        </w:tc>
        <w:tc>
          <w:tcPr>
            <w:tcW w:w="1854" w:type="pct"/>
            <w:tcBorders>
              <w:top w:val="none" w:sz="0" w:space="0" w:color="auto"/>
              <w:bottom w:val="none" w:sz="0" w:space="0" w:color="auto"/>
            </w:tcBorders>
            <w:noWrap/>
            <w:hideMark/>
          </w:tcPr>
          <w:p w:rsidR="00E97595" w:rsidRPr="008D6141" w:rsidRDefault="00E97595" w:rsidP="00E97595">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tcBorders>
              <w:top w:val="none" w:sz="0" w:space="0" w:color="auto"/>
              <w:bottom w:val="none" w:sz="0" w:space="0" w:color="auto"/>
              <w:right w:val="none" w:sz="0" w:space="0" w:color="auto"/>
            </w:tcBorders>
            <w:noWrap/>
            <w:hideMark/>
          </w:tcPr>
          <w:p w:rsidR="00E97595" w:rsidRDefault="00E97595" w:rsidP="00E97595">
            <w:pPr>
              <w:cnfStyle w:val="000000100000" w:firstRow="0" w:lastRow="0" w:firstColumn="0" w:lastColumn="0" w:oddVBand="0" w:evenVBand="0" w:oddHBand="1" w:evenHBand="0" w:firstRowFirstColumn="0" w:firstRowLastColumn="0" w:lastRowFirstColumn="0" w:lastRowLastColumn="0"/>
            </w:pPr>
            <w:r w:rsidRPr="009A109D">
              <w:rPr>
                <w:rFonts w:eastAsia="Times New Roman"/>
              </w:rPr>
              <w:t>2012</w:t>
            </w:r>
          </w:p>
        </w:tc>
      </w:tr>
      <w:tr w:rsidR="00E97595"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E97595" w:rsidRPr="008D6141" w:rsidRDefault="00E97595" w:rsidP="00E97595">
            <w:pPr>
              <w:rPr>
                <w:rFonts w:eastAsia="Times New Roman"/>
              </w:rPr>
            </w:pPr>
            <w:r w:rsidRPr="008D6141">
              <w:rPr>
                <w:rFonts w:eastAsia="Times New Roman"/>
              </w:rPr>
              <w:t>Youth Obtain Alcohol: Someone under 21</w:t>
            </w:r>
          </w:p>
        </w:tc>
        <w:tc>
          <w:tcPr>
            <w:tcW w:w="1854" w:type="pct"/>
            <w:noWrap/>
            <w:hideMark/>
          </w:tcPr>
          <w:p w:rsidR="00E97595" w:rsidRPr="008D6141" w:rsidRDefault="00E97595" w:rsidP="00E97595">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noWrap/>
            <w:hideMark/>
          </w:tcPr>
          <w:p w:rsidR="00E97595" w:rsidRDefault="00E97595" w:rsidP="00E97595">
            <w:pPr>
              <w:cnfStyle w:val="000000000000" w:firstRow="0" w:lastRow="0" w:firstColumn="0" w:lastColumn="0" w:oddVBand="0" w:evenVBand="0" w:oddHBand="0" w:evenHBand="0" w:firstRowFirstColumn="0" w:firstRowLastColumn="0" w:lastRowFirstColumn="0" w:lastRowLastColumn="0"/>
            </w:pPr>
            <w:r w:rsidRPr="009A109D">
              <w:rPr>
                <w:rFonts w:eastAsia="Times New Roman"/>
              </w:rPr>
              <w:t>2012</w:t>
            </w:r>
          </w:p>
        </w:tc>
      </w:tr>
      <w:tr w:rsidR="00E97595"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E97595" w:rsidRPr="008D6141" w:rsidRDefault="00E97595" w:rsidP="00E97595">
            <w:pPr>
              <w:rPr>
                <w:rFonts w:eastAsia="Times New Roman"/>
              </w:rPr>
            </w:pPr>
            <w:r w:rsidRPr="008D6141">
              <w:rPr>
                <w:rFonts w:eastAsia="Times New Roman"/>
              </w:rPr>
              <w:t>Youth Obtain Alcohol: Home with Parent Permission</w:t>
            </w:r>
          </w:p>
        </w:tc>
        <w:tc>
          <w:tcPr>
            <w:tcW w:w="1854" w:type="pct"/>
            <w:tcBorders>
              <w:top w:val="none" w:sz="0" w:space="0" w:color="auto"/>
              <w:bottom w:val="none" w:sz="0" w:space="0" w:color="auto"/>
            </w:tcBorders>
            <w:noWrap/>
            <w:hideMark/>
          </w:tcPr>
          <w:p w:rsidR="00E97595" w:rsidRPr="008D6141" w:rsidRDefault="00E97595" w:rsidP="00E97595">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tcBorders>
              <w:top w:val="none" w:sz="0" w:space="0" w:color="auto"/>
              <w:bottom w:val="none" w:sz="0" w:space="0" w:color="auto"/>
              <w:right w:val="none" w:sz="0" w:space="0" w:color="auto"/>
            </w:tcBorders>
            <w:noWrap/>
            <w:hideMark/>
          </w:tcPr>
          <w:p w:rsidR="00E97595" w:rsidRDefault="00E97595" w:rsidP="00E97595">
            <w:pPr>
              <w:cnfStyle w:val="000000100000" w:firstRow="0" w:lastRow="0" w:firstColumn="0" w:lastColumn="0" w:oddVBand="0" w:evenVBand="0" w:oddHBand="1" w:evenHBand="0" w:firstRowFirstColumn="0" w:firstRowLastColumn="0" w:lastRowFirstColumn="0" w:lastRowLastColumn="0"/>
            </w:pPr>
            <w:r w:rsidRPr="009A109D">
              <w:rPr>
                <w:rFonts w:eastAsia="Times New Roman"/>
              </w:rPr>
              <w:t>2012</w:t>
            </w:r>
          </w:p>
        </w:tc>
      </w:tr>
      <w:tr w:rsidR="00E97595"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E97595" w:rsidRPr="008D6141" w:rsidRDefault="00E97595" w:rsidP="00E97595">
            <w:pPr>
              <w:rPr>
                <w:rFonts w:eastAsia="Times New Roman"/>
              </w:rPr>
            </w:pPr>
            <w:r w:rsidRPr="008D6141">
              <w:rPr>
                <w:rFonts w:eastAsia="Times New Roman"/>
              </w:rPr>
              <w:t>Youth Obtain Alcohol: Home without Parent Permission</w:t>
            </w:r>
          </w:p>
        </w:tc>
        <w:tc>
          <w:tcPr>
            <w:tcW w:w="1854" w:type="pct"/>
            <w:noWrap/>
            <w:hideMark/>
          </w:tcPr>
          <w:p w:rsidR="00E97595" w:rsidRPr="008D6141" w:rsidRDefault="00E97595" w:rsidP="00E97595">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noWrap/>
            <w:hideMark/>
          </w:tcPr>
          <w:p w:rsidR="00E97595" w:rsidRDefault="00E97595" w:rsidP="00E97595">
            <w:pPr>
              <w:cnfStyle w:val="000000000000" w:firstRow="0" w:lastRow="0" w:firstColumn="0" w:lastColumn="0" w:oddVBand="0" w:evenVBand="0" w:oddHBand="0" w:evenHBand="0" w:firstRowFirstColumn="0" w:firstRowLastColumn="0" w:lastRowFirstColumn="0" w:lastRowLastColumn="0"/>
            </w:pPr>
            <w:r w:rsidRPr="009A109D">
              <w:rPr>
                <w:rFonts w:eastAsia="Times New Roman"/>
              </w:rPr>
              <w:t>2012</w:t>
            </w:r>
          </w:p>
        </w:tc>
      </w:tr>
      <w:tr w:rsidR="00E97595"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E97595" w:rsidRPr="008D6141" w:rsidRDefault="00E97595" w:rsidP="00E97595">
            <w:pPr>
              <w:rPr>
                <w:rFonts w:eastAsia="Times New Roman"/>
              </w:rPr>
            </w:pPr>
            <w:r w:rsidRPr="008D6141">
              <w:rPr>
                <w:rFonts w:eastAsia="Times New Roman"/>
              </w:rPr>
              <w:t>Youth Obtain Alcohol:</w:t>
            </w:r>
            <w:r>
              <w:rPr>
                <w:rFonts w:eastAsia="Times New Roman"/>
              </w:rPr>
              <w:t xml:space="preserve"> </w:t>
            </w:r>
            <w:r w:rsidRPr="008D6141">
              <w:rPr>
                <w:rFonts w:eastAsia="Times New Roman"/>
              </w:rPr>
              <w:t>Relative (not Parent)</w:t>
            </w:r>
          </w:p>
        </w:tc>
        <w:tc>
          <w:tcPr>
            <w:tcW w:w="1854" w:type="pct"/>
            <w:tcBorders>
              <w:top w:val="none" w:sz="0" w:space="0" w:color="auto"/>
              <w:bottom w:val="none" w:sz="0" w:space="0" w:color="auto"/>
            </w:tcBorders>
            <w:noWrap/>
            <w:hideMark/>
          </w:tcPr>
          <w:p w:rsidR="00E97595" w:rsidRPr="008D6141" w:rsidRDefault="00E97595" w:rsidP="00E97595">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tcBorders>
              <w:top w:val="none" w:sz="0" w:space="0" w:color="auto"/>
              <w:bottom w:val="none" w:sz="0" w:space="0" w:color="auto"/>
              <w:right w:val="none" w:sz="0" w:space="0" w:color="auto"/>
            </w:tcBorders>
            <w:noWrap/>
            <w:hideMark/>
          </w:tcPr>
          <w:p w:rsidR="00E97595" w:rsidRDefault="00E97595" w:rsidP="00E97595">
            <w:pPr>
              <w:cnfStyle w:val="000000100000" w:firstRow="0" w:lastRow="0" w:firstColumn="0" w:lastColumn="0" w:oddVBand="0" w:evenVBand="0" w:oddHBand="1" w:evenHBand="0" w:firstRowFirstColumn="0" w:firstRowLastColumn="0" w:lastRowFirstColumn="0" w:lastRowLastColumn="0"/>
            </w:pPr>
            <w:r w:rsidRPr="009A109D">
              <w:rPr>
                <w:rFonts w:eastAsia="Times New Roman"/>
              </w:rPr>
              <w:t>2012</w:t>
            </w:r>
          </w:p>
        </w:tc>
      </w:tr>
      <w:tr w:rsidR="00E97595"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E97595" w:rsidRPr="008D6141" w:rsidRDefault="00E97595" w:rsidP="00E97595">
            <w:pPr>
              <w:rPr>
                <w:rFonts w:eastAsia="Times New Roman"/>
              </w:rPr>
            </w:pPr>
            <w:r w:rsidRPr="008D6141">
              <w:rPr>
                <w:rFonts w:eastAsia="Times New Roman"/>
              </w:rPr>
              <w:t>Youth Obtain Alcohol: Stranger</w:t>
            </w:r>
          </w:p>
        </w:tc>
        <w:tc>
          <w:tcPr>
            <w:tcW w:w="1854" w:type="pct"/>
            <w:noWrap/>
            <w:hideMark/>
          </w:tcPr>
          <w:p w:rsidR="00E97595" w:rsidRPr="008D6141" w:rsidRDefault="00E97595" w:rsidP="00E97595">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noWrap/>
            <w:hideMark/>
          </w:tcPr>
          <w:p w:rsidR="00E97595" w:rsidRDefault="00E97595" w:rsidP="00E97595">
            <w:pPr>
              <w:cnfStyle w:val="000000000000" w:firstRow="0" w:lastRow="0" w:firstColumn="0" w:lastColumn="0" w:oddVBand="0" w:evenVBand="0" w:oddHBand="0" w:evenHBand="0" w:firstRowFirstColumn="0" w:firstRowLastColumn="0" w:lastRowFirstColumn="0" w:lastRowLastColumn="0"/>
            </w:pPr>
            <w:r w:rsidRPr="009A109D">
              <w:rPr>
                <w:rFonts w:eastAsia="Times New Roman"/>
              </w:rPr>
              <w:t>2012</w:t>
            </w:r>
          </w:p>
        </w:tc>
      </w:tr>
      <w:tr w:rsidR="00E97595"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E97595" w:rsidRPr="008D6141" w:rsidRDefault="00E97595" w:rsidP="00E97595">
            <w:pPr>
              <w:rPr>
                <w:rFonts w:eastAsia="Times New Roman"/>
              </w:rPr>
            </w:pPr>
            <w:r w:rsidRPr="008D6141">
              <w:rPr>
                <w:rFonts w:eastAsia="Times New Roman"/>
              </w:rPr>
              <w:t>Youth Obtain Alcohol: Some Other Way</w:t>
            </w:r>
          </w:p>
        </w:tc>
        <w:tc>
          <w:tcPr>
            <w:tcW w:w="1854" w:type="pct"/>
            <w:tcBorders>
              <w:top w:val="none" w:sz="0" w:space="0" w:color="auto"/>
              <w:bottom w:val="none" w:sz="0" w:space="0" w:color="auto"/>
            </w:tcBorders>
            <w:noWrap/>
            <w:hideMark/>
          </w:tcPr>
          <w:p w:rsidR="00E97595" w:rsidRPr="008D6141" w:rsidRDefault="00E97595" w:rsidP="00E97595">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tcBorders>
              <w:top w:val="none" w:sz="0" w:space="0" w:color="auto"/>
              <w:bottom w:val="none" w:sz="0" w:space="0" w:color="auto"/>
              <w:right w:val="none" w:sz="0" w:space="0" w:color="auto"/>
            </w:tcBorders>
            <w:noWrap/>
            <w:hideMark/>
          </w:tcPr>
          <w:p w:rsidR="00E97595" w:rsidRDefault="00E97595" w:rsidP="00E97595">
            <w:pPr>
              <w:cnfStyle w:val="000000100000" w:firstRow="0" w:lastRow="0" w:firstColumn="0" w:lastColumn="0" w:oddVBand="0" w:evenVBand="0" w:oddHBand="1" w:evenHBand="0" w:firstRowFirstColumn="0" w:firstRowLastColumn="0" w:lastRowFirstColumn="0" w:lastRowLastColumn="0"/>
            </w:pPr>
            <w:r w:rsidRPr="009A109D">
              <w:rPr>
                <w:rFonts w:eastAsia="Times New Roman"/>
              </w:rPr>
              <w:t>2012</w:t>
            </w:r>
          </w:p>
        </w:tc>
      </w:tr>
      <w:tr w:rsidR="00E97595"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E97595" w:rsidRPr="008D6141" w:rsidRDefault="00E97595" w:rsidP="00E97595">
            <w:pPr>
              <w:rPr>
                <w:rFonts w:eastAsia="Times New Roman"/>
              </w:rPr>
            </w:pPr>
            <w:r w:rsidRPr="008D6141">
              <w:rPr>
                <w:rFonts w:eastAsia="Times New Roman"/>
              </w:rPr>
              <w:t>Youth Places Consume Alcohol: Any Home Without Parent Permission</w:t>
            </w:r>
          </w:p>
        </w:tc>
        <w:tc>
          <w:tcPr>
            <w:tcW w:w="1854" w:type="pct"/>
            <w:noWrap/>
            <w:hideMark/>
          </w:tcPr>
          <w:p w:rsidR="00E97595" w:rsidRPr="008D6141" w:rsidRDefault="00E97595" w:rsidP="00E97595">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noWrap/>
            <w:hideMark/>
          </w:tcPr>
          <w:p w:rsidR="00E97595" w:rsidRDefault="00E97595" w:rsidP="00E97595">
            <w:pPr>
              <w:cnfStyle w:val="000000000000" w:firstRow="0" w:lastRow="0" w:firstColumn="0" w:lastColumn="0" w:oddVBand="0" w:evenVBand="0" w:oddHBand="0" w:evenHBand="0" w:firstRowFirstColumn="0" w:firstRowLastColumn="0" w:lastRowFirstColumn="0" w:lastRowLastColumn="0"/>
            </w:pPr>
            <w:r w:rsidRPr="009A109D">
              <w:rPr>
                <w:rFonts w:eastAsia="Times New Roman"/>
              </w:rPr>
              <w:t>2012</w:t>
            </w:r>
          </w:p>
        </w:tc>
      </w:tr>
      <w:tr w:rsidR="00E97595"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E97595" w:rsidRPr="008D6141" w:rsidRDefault="00E97595" w:rsidP="00E97595">
            <w:pPr>
              <w:rPr>
                <w:rFonts w:eastAsia="Times New Roman"/>
              </w:rPr>
            </w:pPr>
            <w:r w:rsidRPr="008D6141">
              <w:rPr>
                <w:rFonts w:eastAsia="Times New Roman"/>
              </w:rPr>
              <w:t>Youth Places Consume Alcohol: My Home With Parent Permission</w:t>
            </w:r>
          </w:p>
        </w:tc>
        <w:tc>
          <w:tcPr>
            <w:tcW w:w="1854" w:type="pct"/>
            <w:tcBorders>
              <w:top w:val="none" w:sz="0" w:space="0" w:color="auto"/>
              <w:bottom w:val="none" w:sz="0" w:space="0" w:color="auto"/>
            </w:tcBorders>
            <w:noWrap/>
            <w:hideMark/>
          </w:tcPr>
          <w:p w:rsidR="00E97595" w:rsidRPr="008D6141" w:rsidRDefault="00E97595" w:rsidP="00E97595">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tcBorders>
              <w:top w:val="none" w:sz="0" w:space="0" w:color="auto"/>
              <w:bottom w:val="none" w:sz="0" w:space="0" w:color="auto"/>
              <w:right w:val="none" w:sz="0" w:space="0" w:color="auto"/>
            </w:tcBorders>
            <w:noWrap/>
            <w:hideMark/>
          </w:tcPr>
          <w:p w:rsidR="00E97595" w:rsidRDefault="00E97595" w:rsidP="00E97595">
            <w:pPr>
              <w:cnfStyle w:val="000000100000" w:firstRow="0" w:lastRow="0" w:firstColumn="0" w:lastColumn="0" w:oddVBand="0" w:evenVBand="0" w:oddHBand="1" w:evenHBand="0" w:firstRowFirstColumn="0" w:firstRowLastColumn="0" w:lastRowFirstColumn="0" w:lastRowLastColumn="0"/>
            </w:pPr>
            <w:r w:rsidRPr="009A109D">
              <w:rPr>
                <w:rFonts w:eastAsia="Times New Roman"/>
              </w:rPr>
              <w:t>2012</w:t>
            </w:r>
          </w:p>
        </w:tc>
      </w:tr>
      <w:tr w:rsidR="00E97595"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E97595" w:rsidRPr="008D6141" w:rsidRDefault="00E97595" w:rsidP="00E97595">
            <w:pPr>
              <w:rPr>
                <w:rFonts w:eastAsia="Times New Roman"/>
              </w:rPr>
            </w:pPr>
            <w:r w:rsidRPr="008D6141">
              <w:rPr>
                <w:rFonts w:eastAsia="Times New Roman"/>
              </w:rPr>
              <w:t>Youth Places Consume Alcohol: Someone Else's Home with Permission</w:t>
            </w:r>
          </w:p>
        </w:tc>
        <w:tc>
          <w:tcPr>
            <w:tcW w:w="1854" w:type="pct"/>
            <w:noWrap/>
            <w:hideMark/>
          </w:tcPr>
          <w:p w:rsidR="00E97595" w:rsidRPr="008D6141" w:rsidRDefault="00E97595" w:rsidP="00E97595">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noWrap/>
            <w:hideMark/>
          </w:tcPr>
          <w:p w:rsidR="00E97595" w:rsidRDefault="00E97595" w:rsidP="00E97595">
            <w:pPr>
              <w:cnfStyle w:val="000000000000" w:firstRow="0" w:lastRow="0" w:firstColumn="0" w:lastColumn="0" w:oddVBand="0" w:evenVBand="0" w:oddHBand="0" w:evenHBand="0" w:firstRowFirstColumn="0" w:firstRowLastColumn="0" w:lastRowFirstColumn="0" w:lastRowLastColumn="0"/>
            </w:pPr>
            <w:r w:rsidRPr="009A109D">
              <w:rPr>
                <w:rFonts w:eastAsia="Times New Roman"/>
              </w:rPr>
              <w:t>2012</w:t>
            </w:r>
          </w:p>
        </w:tc>
      </w:tr>
      <w:tr w:rsidR="00E97595"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E97595" w:rsidRPr="008D6141" w:rsidRDefault="00E97595" w:rsidP="00E97595">
            <w:pPr>
              <w:rPr>
                <w:rFonts w:eastAsia="Times New Roman"/>
              </w:rPr>
            </w:pPr>
            <w:r w:rsidRPr="008D6141">
              <w:rPr>
                <w:rFonts w:eastAsia="Times New Roman"/>
              </w:rPr>
              <w:t>Youth Places Consume Alcohol: Open area</w:t>
            </w:r>
          </w:p>
        </w:tc>
        <w:tc>
          <w:tcPr>
            <w:tcW w:w="1854" w:type="pct"/>
            <w:tcBorders>
              <w:top w:val="none" w:sz="0" w:space="0" w:color="auto"/>
              <w:bottom w:val="none" w:sz="0" w:space="0" w:color="auto"/>
            </w:tcBorders>
            <w:noWrap/>
            <w:hideMark/>
          </w:tcPr>
          <w:p w:rsidR="00E97595" w:rsidRPr="008D6141" w:rsidRDefault="00E97595" w:rsidP="00E97595">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tcBorders>
              <w:top w:val="none" w:sz="0" w:space="0" w:color="auto"/>
              <w:bottom w:val="none" w:sz="0" w:space="0" w:color="auto"/>
              <w:right w:val="none" w:sz="0" w:space="0" w:color="auto"/>
            </w:tcBorders>
            <w:noWrap/>
            <w:hideMark/>
          </w:tcPr>
          <w:p w:rsidR="00E97595" w:rsidRDefault="00E97595" w:rsidP="00E97595">
            <w:pPr>
              <w:cnfStyle w:val="000000100000" w:firstRow="0" w:lastRow="0" w:firstColumn="0" w:lastColumn="0" w:oddVBand="0" w:evenVBand="0" w:oddHBand="1" w:evenHBand="0" w:firstRowFirstColumn="0" w:firstRowLastColumn="0" w:lastRowFirstColumn="0" w:lastRowLastColumn="0"/>
            </w:pPr>
            <w:r w:rsidRPr="009A109D">
              <w:rPr>
                <w:rFonts w:eastAsia="Times New Roman"/>
              </w:rPr>
              <w:t>2012</w:t>
            </w:r>
          </w:p>
        </w:tc>
      </w:tr>
      <w:tr w:rsidR="00E97595"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E97595" w:rsidRPr="008D6141" w:rsidRDefault="00E97595" w:rsidP="00E97595">
            <w:pPr>
              <w:rPr>
                <w:rFonts w:eastAsia="Times New Roman"/>
              </w:rPr>
            </w:pPr>
            <w:r w:rsidRPr="008D6141">
              <w:rPr>
                <w:rFonts w:eastAsia="Times New Roman"/>
              </w:rPr>
              <w:t>Youth Places Consume Alcohol: At an event</w:t>
            </w:r>
          </w:p>
        </w:tc>
        <w:tc>
          <w:tcPr>
            <w:tcW w:w="1854" w:type="pct"/>
            <w:noWrap/>
            <w:hideMark/>
          </w:tcPr>
          <w:p w:rsidR="00E97595" w:rsidRPr="008D6141" w:rsidRDefault="00E97595" w:rsidP="00E97595">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noWrap/>
            <w:hideMark/>
          </w:tcPr>
          <w:p w:rsidR="00E97595" w:rsidRDefault="00E97595" w:rsidP="00E97595">
            <w:pPr>
              <w:cnfStyle w:val="000000000000" w:firstRow="0" w:lastRow="0" w:firstColumn="0" w:lastColumn="0" w:oddVBand="0" w:evenVBand="0" w:oddHBand="0" w:evenHBand="0" w:firstRowFirstColumn="0" w:firstRowLastColumn="0" w:lastRowFirstColumn="0" w:lastRowLastColumn="0"/>
            </w:pPr>
            <w:r w:rsidRPr="009A109D">
              <w:rPr>
                <w:rFonts w:eastAsia="Times New Roman"/>
              </w:rPr>
              <w:t>2012</w:t>
            </w:r>
          </w:p>
        </w:tc>
      </w:tr>
      <w:tr w:rsidR="008D6141"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8D6141" w:rsidRPr="008D6141" w:rsidRDefault="008D6141" w:rsidP="006D1A5D">
            <w:pPr>
              <w:rPr>
                <w:rFonts w:eastAsia="Times New Roman"/>
              </w:rPr>
            </w:pPr>
            <w:r w:rsidRPr="008D6141">
              <w:rPr>
                <w:rFonts w:eastAsia="Times New Roman"/>
              </w:rPr>
              <w:lastRenderedPageBreak/>
              <w:t xml:space="preserve">Youth Places Consume Alcohol: Restaurant/Bar </w:t>
            </w:r>
          </w:p>
        </w:tc>
        <w:tc>
          <w:tcPr>
            <w:tcW w:w="1854" w:type="pct"/>
            <w:tcBorders>
              <w:top w:val="none" w:sz="0" w:space="0" w:color="auto"/>
              <w:bottom w:val="none" w:sz="0" w:space="0" w:color="auto"/>
            </w:tcBorders>
            <w:noWrap/>
            <w:hideMark/>
          </w:tcPr>
          <w:p w:rsidR="008D6141" w:rsidRPr="008D6141" w:rsidRDefault="008D6141" w:rsidP="006D1A5D">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Caring Communities Youth Survey</w:t>
            </w:r>
            <w:r w:rsidR="0073037C">
              <w:rPr>
                <w:rFonts w:eastAsia="Times New Roman"/>
              </w:rPr>
              <w:t xml:space="preserve"> (CCYS)</w:t>
            </w:r>
          </w:p>
        </w:tc>
        <w:tc>
          <w:tcPr>
            <w:tcW w:w="884" w:type="pct"/>
            <w:tcBorders>
              <w:top w:val="none" w:sz="0" w:space="0" w:color="auto"/>
              <w:bottom w:val="none" w:sz="0" w:space="0" w:color="auto"/>
              <w:right w:val="none" w:sz="0" w:space="0" w:color="auto"/>
            </w:tcBorders>
            <w:noWrap/>
            <w:hideMark/>
          </w:tcPr>
          <w:p w:rsidR="008D6141" w:rsidRPr="008D6141" w:rsidRDefault="008D6141" w:rsidP="00E97595">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201</w:t>
            </w:r>
            <w:r w:rsidR="00E97595">
              <w:rPr>
                <w:rFonts w:eastAsia="Times New Roman"/>
              </w:rPr>
              <w:t>2</w:t>
            </w:r>
          </w:p>
        </w:tc>
      </w:tr>
      <w:tr w:rsidR="008D6141"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8D6141" w:rsidRPr="008D6141" w:rsidRDefault="008D6141" w:rsidP="006D1A5D">
            <w:pPr>
              <w:rPr>
                <w:rFonts w:eastAsia="Times New Roman"/>
              </w:rPr>
            </w:pPr>
            <w:r w:rsidRPr="008D6141">
              <w:rPr>
                <w:rFonts w:eastAsia="Times New Roman"/>
              </w:rPr>
              <w:t>Youth Places Consume Alcohol: Empty Building</w:t>
            </w:r>
          </w:p>
        </w:tc>
        <w:tc>
          <w:tcPr>
            <w:tcW w:w="1854" w:type="pct"/>
            <w:noWrap/>
            <w:hideMark/>
          </w:tcPr>
          <w:p w:rsidR="008D6141" w:rsidRPr="008D6141" w:rsidRDefault="008D6141" w:rsidP="006D1A5D">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Caring Communities Youth Survey</w:t>
            </w:r>
            <w:r w:rsidR="0073037C">
              <w:rPr>
                <w:rFonts w:eastAsia="Times New Roman"/>
              </w:rPr>
              <w:t xml:space="preserve"> (CCYS)</w:t>
            </w:r>
          </w:p>
        </w:tc>
        <w:tc>
          <w:tcPr>
            <w:tcW w:w="884" w:type="pct"/>
            <w:noWrap/>
            <w:hideMark/>
          </w:tcPr>
          <w:p w:rsidR="008D6141" w:rsidRPr="008D6141" w:rsidRDefault="00E97595" w:rsidP="006D1A5D">
            <w:pP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2012</w:t>
            </w:r>
          </w:p>
        </w:tc>
      </w:tr>
      <w:tr w:rsidR="008D6141"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8D6141" w:rsidRPr="008D6141" w:rsidRDefault="008D6141" w:rsidP="006D1A5D">
            <w:pPr>
              <w:rPr>
                <w:rFonts w:eastAsia="Times New Roman"/>
              </w:rPr>
            </w:pPr>
            <w:r w:rsidRPr="008D6141">
              <w:rPr>
                <w:rFonts w:eastAsia="Times New Roman"/>
              </w:rPr>
              <w:t>Youth Places Consume Alcohol: In a car</w:t>
            </w:r>
          </w:p>
        </w:tc>
        <w:tc>
          <w:tcPr>
            <w:tcW w:w="1854" w:type="pct"/>
            <w:tcBorders>
              <w:top w:val="none" w:sz="0" w:space="0" w:color="auto"/>
              <w:bottom w:val="none" w:sz="0" w:space="0" w:color="auto"/>
            </w:tcBorders>
            <w:noWrap/>
            <w:hideMark/>
          </w:tcPr>
          <w:p w:rsidR="008D6141" w:rsidRPr="008D6141" w:rsidRDefault="008D6141" w:rsidP="006D1A5D">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Caring Communities Youth Survey</w:t>
            </w:r>
            <w:r w:rsidR="0073037C">
              <w:rPr>
                <w:rFonts w:eastAsia="Times New Roman"/>
              </w:rPr>
              <w:t xml:space="preserve"> (CCYS)</w:t>
            </w:r>
          </w:p>
        </w:tc>
        <w:tc>
          <w:tcPr>
            <w:tcW w:w="884" w:type="pct"/>
            <w:tcBorders>
              <w:top w:val="none" w:sz="0" w:space="0" w:color="auto"/>
              <w:bottom w:val="none" w:sz="0" w:space="0" w:color="auto"/>
              <w:right w:val="none" w:sz="0" w:space="0" w:color="auto"/>
            </w:tcBorders>
            <w:noWrap/>
            <w:hideMark/>
          </w:tcPr>
          <w:p w:rsidR="008D6141" w:rsidRPr="008D6141" w:rsidRDefault="00E97595" w:rsidP="006D1A5D">
            <w:pP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2012</w:t>
            </w:r>
          </w:p>
        </w:tc>
      </w:tr>
      <w:tr w:rsidR="008D6141"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8D6141" w:rsidRPr="008D6141" w:rsidRDefault="008D6141" w:rsidP="006D1A5D">
            <w:pPr>
              <w:rPr>
                <w:rFonts w:eastAsia="Times New Roman"/>
              </w:rPr>
            </w:pPr>
            <w:r w:rsidRPr="008D6141">
              <w:rPr>
                <w:rFonts w:eastAsia="Times New Roman"/>
              </w:rPr>
              <w:t>Youth Places Consume Alcohol: Some Other Place</w:t>
            </w:r>
          </w:p>
        </w:tc>
        <w:tc>
          <w:tcPr>
            <w:tcW w:w="1854" w:type="pct"/>
            <w:noWrap/>
            <w:hideMark/>
          </w:tcPr>
          <w:p w:rsidR="008D6141" w:rsidRPr="008D6141" w:rsidRDefault="008D6141" w:rsidP="006D1A5D">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Caring Communities Youth Survey</w:t>
            </w:r>
            <w:r w:rsidR="0073037C">
              <w:rPr>
                <w:rFonts w:eastAsia="Times New Roman"/>
              </w:rPr>
              <w:t xml:space="preserve"> (CCYS)</w:t>
            </w:r>
          </w:p>
        </w:tc>
        <w:tc>
          <w:tcPr>
            <w:tcW w:w="884" w:type="pct"/>
            <w:noWrap/>
            <w:hideMark/>
          </w:tcPr>
          <w:p w:rsidR="008D6141" w:rsidRPr="008D6141" w:rsidRDefault="00E97595" w:rsidP="006D1A5D">
            <w:pP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2012</w:t>
            </w:r>
          </w:p>
        </w:tc>
      </w:tr>
      <w:tr w:rsidR="008D6141"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8D6141" w:rsidRPr="008D6141" w:rsidRDefault="008D6141" w:rsidP="006D1A5D">
            <w:pPr>
              <w:rPr>
                <w:rFonts w:eastAsia="Times New Roman"/>
              </w:rPr>
            </w:pPr>
            <w:r w:rsidRPr="008D6141">
              <w:rPr>
                <w:rFonts w:eastAsia="Times New Roman"/>
              </w:rPr>
              <w:t xml:space="preserve">Youth Attitudes about Adults Drinking Alcohol </w:t>
            </w:r>
          </w:p>
        </w:tc>
        <w:tc>
          <w:tcPr>
            <w:tcW w:w="1854" w:type="pct"/>
            <w:tcBorders>
              <w:top w:val="none" w:sz="0" w:space="0" w:color="auto"/>
              <w:bottom w:val="none" w:sz="0" w:space="0" w:color="auto"/>
            </w:tcBorders>
            <w:noWrap/>
            <w:hideMark/>
          </w:tcPr>
          <w:p w:rsidR="008D6141" w:rsidRPr="008D6141" w:rsidRDefault="008D6141" w:rsidP="006D1A5D">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Caring Communities Youth Survey</w:t>
            </w:r>
            <w:r w:rsidR="0073037C">
              <w:rPr>
                <w:rFonts w:eastAsia="Times New Roman"/>
              </w:rPr>
              <w:t xml:space="preserve"> (CCYS)</w:t>
            </w:r>
          </w:p>
        </w:tc>
        <w:tc>
          <w:tcPr>
            <w:tcW w:w="884" w:type="pct"/>
            <w:tcBorders>
              <w:top w:val="none" w:sz="0" w:space="0" w:color="auto"/>
              <w:bottom w:val="none" w:sz="0" w:space="0" w:color="auto"/>
              <w:right w:val="none" w:sz="0" w:space="0" w:color="auto"/>
            </w:tcBorders>
            <w:noWrap/>
            <w:hideMark/>
          </w:tcPr>
          <w:p w:rsidR="008D6141" w:rsidRPr="008D6141" w:rsidRDefault="008D6141" w:rsidP="00E97595">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201</w:t>
            </w:r>
            <w:r w:rsidR="00E97595">
              <w:rPr>
                <w:rFonts w:eastAsia="Times New Roman"/>
              </w:rPr>
              <w:t>2</w:t>
            </w:r>
          </w:p>
        </w:tc>
      </w:tr>
      <w:tr w:rsidR="008D6141"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8D6141" w:rsidRPr="008D6141" w:rsidRDefault="008D6141" w:rsidP="006D1A5D">
            <w:pPr>
              <w:rPr>
                <w:rFonts w:eastAsia="Times New Roman"/>
              </w:rPr>
            </w:pPr>
            <w:r w:rsidRPr="008D6141">
              <w:rPr>
                <w:rFonts w:eastAsia="Times New Roman"/>
              </w:rPr>
              <w:t>Youth Attitudes about Adults Being Drunk</w:t>
            </w:r>
          </w:p>
        </w:tc>
        <w:tc>
          <w:tcPr>
            <w:tcW w:w="1854" w:type="pct"/>
            <w:noWrap/>
            <w:hideMark/>
          </w:tcPr>
          <w:p w:rsidR="008D6141" w:rsidRPr="008D6141" w:rsidRDefault="008D6141" w:rsidP="006D1A5D">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Caring Communities Youth Survey</w:t>
            </w:r>
            <w:r w:rsidR="0073037C">
              <w:rPr>
                <w:rFonts w:eastAsia="Times New Roman"/>
              </w:rPr>
              <w:t xml:space="preserve"> (CCYS)</w:t>
            </w:r>
          </w:p>
        </w:tc>
        <w:tc>
          <w:tcPr>
            <w:tcW w:w="884" w:type="pct"/>
            <w:noWrap/>
            <w:hideMark/>
          </w:tcPr>
          <w:p w:rsidR="008D6141" w:rsidRPr="008D6141" w:rsidRDefault="00E97595" w:rsidP="006D1A5D">
            <w:pP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2012</w:t>
            </w:r>
          </w:p>
        </w:tc>
      </w:tr>
      <w:tr w:rsidR="008D6141"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8D6141" w:rsidRPr="008D6141" w:rsidRDefault="008D6141" w:rsidP="006D1A5D">
            <w:pPr>
              <w:rPr>
                <w:rFonts w:eastAsia="Times New Roman"/>
              </w:rPr>
            </w:pPr>
            <w:r w:rsidRPr="008D6141">
              <w:rPr>
                <w:rFonts w:eastAsia="Times New Roman"/>
              </w:rPr>
              <w:t>Youth Ease of Underage Alcohol Purchasing</w:t>
            </w:r>
          </w:p>
        </w:tc>
        <w:tc>
          <w:tcPr>
            <w:tcW w:w="1854" w:type="pct"/>
            <w:tcBorders>
              <w:top w:val="none" w:sz="0" w:space="0" w:color="auto"/>
              <w:bottom w:val="none" w:sz="0" w:space="0" w:color="auto"/>
            </w:tcBorders>
            <w:noWrap/>
            <w:hideMark/>
          </w:tcPr>
          <w:p w:rsidR="008D6141" w:rsidRPr="008D6141" w:rsidRDefault="008D6141" w:rsidP="006D1A5D">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Caring Communities Youth Survey</w:t>
            </w:r>
            <w:r w:rsidR="0073037C">
              <w:rPr>
                <w:rFonts w:eastAsia="Times New Roman"/>
              </w:rPr>
              <w:t xml:space="preserve"> (CCYS)</w:t>
            </w:r>
          </w:p>
        </w:tc>
        <w:tc>
          <w:tcPr>
            <w:tcW w:w="884" w:type="pct"/>
            <w:tcBorders>
              <w:top w:val="none" w:sz="0" w:space="0" w:color="auto"/>
              <w:bottom w:val="none" w:sz="0" w:space="0" w:color="auto"/>
              <w:right w:val="none" w:sz="0" w:space="0" w:color="auto"/>
            </w:tcBorders>
            <w:noWrap/>
            <w:hideMark/>
          </w:tcPr>
          <w:p w:rsidR="008D6141" w:rsidRPr="008D6141" w:rsidRDefault="00E97595" w:rsidP="006D1A5D">
            <w:pP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2012</w:t>
            </w:r>
          </w:p>
        </w:tc>
      </w:tr>
      <w:tr w:rsidR="008D6141"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8D6141" w:rsidRPr="008D6141" w:rsidRDefault="008D6141" w:rsidP="006D1A5D">
            <w:pPr>
              <w:rPr>
                <w:rFonts w:eastAsia="Times New Roman"/>
              </w:rPr>
            </w:pPr>
            <w:r w:rsidRPr="008D6141">
              <w:rPr>
                <w:rFonts w:eastAsia="Times New Roman"/>
              </w:rPr>
              <w:t>Youth Perceived Risk of Drunk Driving Enforcement</w:t>
            </w:r>
          </w:p>
        </w:tc>
        <w:tc>
          <w:tcPr>
            <w:tcW w:w="1854" w:type="pct"/>
            <w:noWrap/>
            <w:hideMark/>
          </w:tcPr>
          <w:p w:rsidR="008D6141" w:rsidRPr="008D6141" w:rsidRDefault="008D6141" w:rsidP="006D1A5D">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Caring Communities Youth Survey</w:t>
            </w:r>
            <w:r w:rsidR="0073037C">
              <w:rPr>
                <w:rFonts w:eastAsia="Times New Roman"/>
              </w:rPr>
              <w:t xml:space="preserve"> (CCYS</w:t>
            </w:r>
          </w:p>
        </w:tc>
        <w:tc>
          <w:tcPr>
            <w:tcW w:w="884" w:type="pct"/>
            <w:noWrap/>
            <w:hideMark/>
          </w:tcPr>
          <w:p w:rsidR="008D6141" w:rsidRPr="008D6141" w:rsidRDefault="00E97595" w:rsidP="006D1A5D">
            <w:pP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2012</w:t>
            </w:r>
          </w:p>
        </w:tc>
      </w:tr>
      <w:tr w:rsidR="008D6141"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8D6141" w:rsidRPr="008D6141" w:rsidRDefault="008D6141" w:rsidP="006D1A5D">
            <w:pPr>
              <w:rPr>
                <w:rFonts w:eastAsia="Times New Roman"/>
              </w:rPr>
            </w:pPr>
            <w:r w:rsidRPr="008D6141">
              <w:rPr>
                <w:rFonts w:eastAsia="Times New Roman"/>
              </w:rPr>
              <w:t>Youth Perceived Risk of Underage Alcohol Penalties</w:t>
            </w:r>
          </w:p>
        </w:tc>
        <w:tc>
          <w:tcPr>
            <w:tcW w:w="1854" w:type="pct"/>
            <w:tcBorders>
              <w:top w:val="none" w:sz="0" w:space="0" w:color="auto"/>
              <w:bottom w:val="none" w:sz="0" w:space="0" w:color="auto"/>
            </w:tcBorders>
            <w:noWrap/>
            <w:hideMark/>
          </w:tcPr>
          <w:p w:rsidR="008D6141" w:rsidRPr="008D6141" w:rsidRDefault="008D6141" w:rsidP="006D1A5D">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Caring Communities Youth Survey</w:t>
            </w:r>
            <w:r w:rsidR="0073037C">
              <w:rPr>
                <w:rFonts w:eastAsia="Times New Roman"/>
              </w:rPr>
              <w:t xml:space="preserve"> (CCYS)</w:t>
            </w:r>
          </w:p>
        </w:tc>
        <w:tc>
          <w:tcPr>
            <w:tcW w:w="884" w:type="pct"/>
            <w:tcBorders>
              <w:top w:val="none" w:sz="0" w:space="0" w:color="auto"/>
              <w:bottom w:val="none" w:sz="0" w:space="0" w:color="auto"/>
              <w:right w:val="none" w:sz="0" w:space="0" w:color="auto"/>
            </w:tcBorders>
            <w:noWrap/>
            <w:hideMark/>
          </w:tcPr>
          <w:p w:rsidR="008D6141" w:rsidRPr="008D6141" w:rsidRDefault="00E97595" w:rsidP="006D1A5D">
            <w:pP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2012</w:t>
            </w:r>
          </w:p>
        </w:tc>
      </w:tr>
      <w:tr w:rsidR="008D6141"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8D6141" w:rsidRPr="008D6141" w:rsidRDefault="008D6141" w:rsidP="006D1A5D">
            <w:pPr>
              <w:rPr>
                <w:rFonts w:eastAsia="Times New Roman"/>
              </w:rPr>
            </w:pPr>
            <w:r w:rsidRPr="008D6141">
              <w:rPr>
                <w:rFonts w:eastAsia="Times New Roman"/>
              </w:rPr>
              <w:t>Youth Age First Used Alcohol</w:t>
            </w:r>
          </w:p>
        </w:tc>
        <w:tc>
          <w:tcPr>
            <w:tcW w:w="1854" w:type="pct"/>
            <w:noWrap/>
            <w:hideMark/>
          </w:tcPr>
          <w:p w:rsidR="008D6141" w:rsidRPr="008D6141" w:rsidRDefault="008D6141" w:rsidP="006D1A5D">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Caring Communities Youth Survey</w:t>
            </w:r>
            <w:r w:rsidR="0073037C">
              <w:rPr>
                <w:rFonts w:eastAsia="Times New Roman"/>
              </w:rPr>
              <w:t xml:space="preserve"> (CCYS)</w:t>
            </w:r>
          </w:p>
        </w:tc>
        <w:tc>
          <w:tcPr>
            <w:tcW w:w="884" w:type="pct"/>
            <w:noWrap/>
            <w:hideMark/>
          </w:tcPr>
          <w:p w:rsidR="008D6141" w:rsidRPr="008D6141" w:rsidRDefault="00E97595" w:rsidP="006D1A5D">
            <w:pP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2012</w:t>
            </w:r>
          </w:p>
        </w:tc>
      </w:tr>
      <w:tr w:rsidR="008D6141"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8D6141" w:rsidRPr="008D6141" w:rsidRDefault="008D6141" w:rsidP="006D1A5D">
            <w:pPr>
              <w:rPr>
                <w:rFonts w:eastAsia="Times New Roman"/>
              </w:rPr>
            </w:pPr>
            <w:r w:rsidRPr="008D6141">
              <w:rPr>
                <w:rFonts w:eastAsia="Times New Roman"/>
              </w:rPr>
              <w:t>Youth Age First Used Cigarettes</w:t>
            </w:r>
          </w:p>
        </w:tc>
        <w:tc>
          <w:tcPr>
            <w:tcW w:w="1854" w:type="pct"/>
            <w:tcBorders>
              <w:top w:val="none" w:sz="0" w:space="0" w:color="auto"/>
              <w:bottom w:val="none" w:sz="0" w:space="0" w:color="auto"/>
            </w:tcBorders>
            <w:noWrap/>
            <w:hideMark/>
          </w:tcPr>
          <w:p w:rsidR="008D6141" w:rsidRPr="008D6141" w:rsidRDefault="008D6141" w:rsidP="006D1A5D">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Caring Communities Youth Survey</w:t>
            </w:r>
            <w:r w:rsidR="0073037C">
              <w:rPr>
                <w:rFonts w:eastAsia="Times New Roman"/>
              </w:rPr>
              <w:t xml:space="preserve"> (CCYS)</w:t>
            </w:r>
          </w:p>
        </w:tc>
        <w:tc>
          <w:tcPr>
            <w:tcW w:w="884" w:type="pct"/>
            <w:tcBorders>
              <w:top w:val="none" w:sz="0" w:space="0" w:color="auto"/>
              <w:bottom w:val="none" w:sz="0" w:space="0" w:color="auto"/>
              <w:right w:val="none" w:sz="0" w:space="0" w:color="auto"/>
            </w:tcBorders>
            <w:noWrap/>
            <w:hideMark/>
          </w:tcPr>
          <w:p w:rsidR="008D6141" w:rsidRPr="008D6141" w:rsidRDefault="00E97595" w:rsidP="006D1A5D">
            <w:pP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2012</w:t>
            </w:r>
          </w:p>
        </w:tc>
      </w:tr>
      <w:tr w:rsidR="008D6141"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8D6141" w:rsidRPr="008D6141" w:rsidRDefault="008D6141" w:rsidP="006D1A5D">
            <w:pPr>
              <w:rPr>
                <w:rFonts w:eastAsia="Times New Roman"/>
              </w:rPr>
            </w:pPr>
            <w:r w:rsidRPr="008D6141">
              <w:rPr>
                <w:rFonts w:eastAsia="Times New Roman"/>
              </w:rPr>
              <w:t>Youth Age First Used Marijuana</w:t>
            </w:r>
          </w:p>
        </w:tc>
        <w:tc>
          <w:tcPr>
            <w:tcW w:w="1854" w:type="pct"/>
            <w:noWrap/>
            <w:hideMark/>
          </w:tcPr>
          <w:p w:rsidR="008D6141" w:rsidRPr="008D6141" w:rsidRDefault="008D6141" w:rsidP="006D1A5D">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Caring Communities Youth Survey</w:t>
            </w:r>
            <w:r w:rsidR="0073037C">
              <w:rPr>
                <w:rFonts w:eastAsia="Times New Roman"/>
              </w:rPr>
              <w:t xml:space="preserve"> (CCYS)</w:t>
            </w:r>
          </w:p>
        </w:tc>
        <w:tc>
          <w:tcPr>
            <w:tcW w:w="884" w:type="pct"/>
            <w:noWrap/>
            <w:hideMark/>
          </w:tcPr>
          <w:p w:rsidR="008D6141" w:rsidRPr="008D6141" w:rsidRDefault="00E97595" w:rsidP="006D1A5D">
            <w:pP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2012</w:t>
            </w:r>
          </w:p>
        </w:tc>
      </w:tr>
      <w:tr w:rsidR="008D6141"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8D6141" w:rsidRPr="008D6141" w:rsidRDefault="008D6141" w:rsidP="006D1A5D">
            <w:pPr>
              <w:rPr>
                <w:rFonts w:eastAsia="Times New Roman"/>
              </w:rPr>
            </w:pPr>
            <w:r w:rsidRPr="008D6141">
              <w:rPr>
                <w:rFonts w:eastAsia="Times New Roman"/>
              </w:rPr>
              <w:t>Youth Feel Unsafe at School</w:t>
            </w:r>
          </w:p>
        </w:tc>
        <w:tc>
          <w:tcPr>
            <w:tcW w:w="1854" w:type="pct"/>
            <w:tcBorders>
              <w:top w:val="none" w:sz="0" w:space="0" w:color="auto"/>
              <w:bottom w:val="none" w:sz="0" w:space="0" w:color="auto"/>
            </w:tcBorders>
            <w:noWrap/>
            <w:hideMark/>
          </w:tcPr>
          <w:p w:rsidR="008D6141" w:rsidRPr="008D6141" w:rsidRDefault="008D6141" w:rsidP="006D1A5D">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Caring Communities Youth Survey</w:t>
            </w:r>
            <w:r w:rsidR="0073037C">
              <w:rPr>
                <w:rFonts w:eastAsia="Times New Roman"/>
              </w:rPr>
              <w:t xml:space="preserve"> (CCYS)</w:t>
            </w:r>
          </w:p>
        </w:tc>
        <w:tc>
          <w:tcPr>
            <w:tcW w:w="884" w:type="pct"/>
            <w:tcBorders>
              <w:top w:val="none" w:sz="0" w:space="0" w:color="auto"/>
              <w:bottom w:val="none" w:sz="0" w:space="0" w:color="auto"/>
              <w:right w:val="none" w:sz="0" w:space="0" w:color="auto"/>
            </w:tcBorders>
            <w:noWrap/>
            <w:hideMark/>
          </w:tcPr>
          <w:p w:rsidR="008D6141" w:rsidRPr="008D6141" w:rsidRDefault="00E97595" w:rsidP="006D1A5D">
            <w:pP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2012</w:t>
            </w:r>
          </w:p>
        </w:tc>
      </w:tr>
      <w:tr w:rsidR="008D6141"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8D6141" w:rsidRPr="008D6141" w:rsidRDefault="008D6141" w:rsidP="006D1A5D">
            <w:pPr>
              <w:rPr>
                <w:rFonts w:eastAsia="Times New Roman"/>
              </w:rPr>
            </w:pPr>
            <w:r w:rsidRPr="008D6141">
              <w:rPr>
                <w:rFonts w:eastAsia="Times New Roman"/>
              </w:rPr>
              <w:t>Youth Perception of Disapproval: Violence</w:t>
            </w:r>
          </w:p>
        </w:tc>
        <w:tc>
          <w:tcPr>
            <w:tcW w:w="1854" w:type="pct"/>
            <w:noWrap/>
            <w:hideMark/>
          </w:tcPr>
          <w:p w:rsidR="008D6141" w:rsidRPr="008D6141" w:rsidRDefault="008D6141" w:rsidP="006D1A5D">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Caring Communities Youth Survey</w:t>
            </w:r>
            <w:r w:rsidR="0073037C">
              <w:rPr>
                <w:rFonts w:eastAsia="Times New Roman"/>
              </w:rPr>
              <w:t xml:space="preserve"> (CCYS)</w:t>
            </w:r>
          </w:p>
        </w:tc>
        <w:tc>
          <w:tcPr>
            <w:tcW w:w="884" w:type="pct"/>
            <w:noWrap/>
            <w:hideMark/>
          </w:tcPr>
          <w:p w:rsidR="008D6141" w:rsidRPr="008D6141" w:rsidRDefault="00E97595" w:rsidP="00E97595">
            <w:pP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2012</w:t>
            </w:r>
          </w:p>
        </w:tc>
      </w:tr>
      <w:tr w:rsidR="00E97595"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E97595" w:rsidRPr="008D6141" w:rsidRDefault="00E97595" w:rsidP="00E97595">
            <w:pPr>
              <w:rPr>
                <w:rFonts w:eastAsia="Times New Roman"/>
              </w:rPr>
            </w:pPr>
            <w:r w:rsidRPr="008D6141">
              <w:rPr>
                <w:rFonts w:eastAsia="Times New Roman"/>
              </w:rPr>
              <w:t>Youth School Avoidance Bullying</w:t>
            </w:r>
          </w:p>
        </w:tc>
        <w:tc>
          <w:tcPr>
            <w:tcW w:w="1854" w:type="pct"/>
            <w:tcBorders>
              <w:top w:val="none" w:sz="0" w:space="0" w:color="auto"/>
              <w:bottom w:val="none" w:sz="0" w:space="0" w:color="auto"/>
            </w:tcBorders>
            <w:noWrap/>
            <w:hideMark/>
          </w:tcPr>
          <w:p w:rsidR="00E97595" w:rsidRPr="008D6141" w:rsidRDefault="00E97595" w:rsidP="00E97595">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tcBorders>
              <w:top w:val="none" w:sz="0" w:space="0" w:color="auto"/>
              <w:bottom w:val="none" w:sz="0" w:space="0" w:color="auto"/>
              <w:right w:val="none" w:sz="0" w:space="0" w:color="auto"/>
            </w:tcBorders>
            <w:noWrap/>
            <w:hideMark/>
          </w:tcPr>
          <w:p w:rsidR="00E97595" w:rsidRDefault="00E97595" w:rsidP="00E97595">
            <w:pPr>
              <w:cnfStyle w:val="000000100000" w:firstRow="0" w:lastRow="0" w:firstColumn="0" w:lastColumn="0" w:oddVBand="0" w:evenVBand="0" w:oddHBand="1" w:evenHBand="0" w:firstRowFirstColumn="0" w:firstRowLastColumn="0" w:lastRowFirstColumn="0" w:lastRowLastColumn="0"/>
            </w:pPr>
            <w:r w:rsidRPr="00312817">
              <w:rPr>
                <w:rFonts w:eastAsia="Times New Roman"/>
              </w:rPr>
              <w:t>2012</w:t>
            </w:r>
          </w:p>
        </w:tc>
      </w:tr>
      <w:tr w:rsidR="00E97595"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E97595" w:rsidRPr="008D6141" w:rsidRDefault="00E97595" w:rsidP="00E97595">
            <w:pPr>
              <w:rPr>
                <w:rFonts w:eastAsia="Times New Roman"/>
              </w:rPr>
            </w:pPr>
            <w:r w:rsidRPr="008D6141">
              <w:rPr>
                <w:rFonts w:eastAsia="Times New Roman"/>
              </w:rPr>
              <w:t>Youth Bullied at School-Past Year</w:t>
            </w:r>
          </w:p>
        </w:tc>
        <w:tc>
          <w:tcPr>
            <w:tcW w:w="1854" w:type="pct"/>
            <w:noWrap/>
            <w:hideMark/>
          </w:tcPr>
          <w:p w:rsidR="00E97595" w:rsidRPr="008D6141" w:rsidRDefault="00E97595" w:rsidP="00E97595">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noWrap/>
            <w:hideMark/>
          </w:tcPr>
          <w:p w:rsidR="00E97595" w:rsidRDefault="00E97595" w:rsidP="00E97595">
            <w:pPr>
              <w:cnfStyle w:val="000000000000" w:firstRow="0" w:lastRow="0" w:firstColumn="0" w:lastColumn="0" w:oddVBand="0" w:evenVBand="0" w:oddHBand="0" w:evenHBand="0" w:firstRowFirstColumn="0" w:firstRowLastColumn="0" w:lastRowFirstColumn="0" w:lastRowLastColumn="0"/>
            </w:pPr>
            <w:r w:rsidRPr="00312817">
              <w:rPr>
                <w:rFonts w:eastAsia="Times New Roman"/>
              </w:rPr>
              <w:t>2012</w:t>
            </w:r>
          </w:p>
        </w:tc>
      </w:tr>
      <w:tr w:rsidR="00E97595"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E97595" w:rsidRPr="008D6141" w:rsidRDefault="00E97595" w:rsidP="00E97595">
            <w:pPr>
              <w:rPr>
                <w:rFonts w:eastAsia="Times New Roman"/>
              </w:rPr>
            </w:pPr>
            <w:r w:rsidRPr="008D6141">
              <w:rPr>
                <w:rFonts w:eastAsia="Times New Roman"/>
              </w:rPr>
              <w:t>Youth Perception of Risk: Alcohol</w:t>
            </w:r>
          </w:p>
        </w:tc>
        <w:tc>
          <w:tcPr>
            <w:tcW w:w="1854" w:type="pct"/>
            <w:tcBorders>
              <w:top w:val="none" w:sz="0" w:space="0" w:color="auto"/>
              <w:bottom w:val="none" w:sz="0" w:space="0" w:color="auto"/>
            </w:tcBorders>
            <w:noWrap/>
            <w:hideMark/>
          </w:tcPr>
          <w:p w:rsidR="00E97595" w:rsidRPr="008D6141" w:rsidRDefault="00E97595" w:rsidP="00E97595">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tcBorders>
              <w:top w:val="none" w:sz="0" w:space="0" w:color="auto"/>
              <w:bottom w:val="none" w:sz="0" w:space="0" w:color="auto"/>
              <w:right w:val="none" w:sz="0" w:space="0" w:color="auto"/>
            </w:tcBorders>
            <w:noWrap/>
            <w:hideMark/>
          </w:tcPr>
          <w:p w:rsidR="00E97595" w:rsidRDefault="00E97595" w:rsidP="00E97595">
            <w:pPr>
              <w:cnfStyle w:val="000000100000" w:firstRow="0" w:lastRow="0" w:firstColumn="0" w:lastColumn="0" w:oddVBand="0" w:evenVBand="0" w:oddHBand="1" w:evenHBand="0" w:firstRowFirstColumn="0" w:firstRowLastColumn="0" w:lastRowFirstColumn="0" w:lastRowLastColumn="0"/>
            </w:pPr>
            <w:r w:rsidRPr="00312817">
              <w:rPr>
                <w:rFonts w:eastAsia="Times New Roman"/>
              </w:rPr>
              <w:t>2012</w:t>
            </w:r>
          </w:p>
        </w:tc>
      </w:tr>
      <w:tr w:rsidR="00E97595"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E97595" w:rsidRPr="008D6141" w:rsidRDefault="00E97595" w:rsidP="00E97595">
            <w:pPr>
              <w:rPr>
                <w:rFonts w:eastAsia="Times New Roman"/>
              </w:rPr>
            </w:pPr>
            <w:r w:rsidRPr="008D6141">
              <w:rPr>
                <w:rFonts w:eastAsia="Times New Roman"/>
              </w:rPr>
              <w:t>Youth Perception of Risk: Cigarette Use</w:t>
            </w:r>
          </w:p>
        </w:tc>
        <w:tc>
          <w:tcPr>
            <w:tcW w:w="1854" w:type="pct"/>
            <w:noWrap/>
            <w:hideMark/>
          </w:tcPr>
          <w:p w:rsidR="00E97595" w:rsidRPr="008D6141" w:rsidRDefault="00E97595" w:rsidP="00E97595">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noWrap/>
            <w:hideMark/>
          </w:tcPr>
          <w:p w:rsidR="00E97595" w:rsidRDefault="00E97595" w:rsidP="00E97595">
            <w:pPr>
              <w:cnfStyle w:val="000000000000" w:firstRow="0" w:lastRow="0" w:firstColumn="0" w:lastColumn="0" w:oddVBand="0" w:evenVBand="0" w:oddHBand="0" w:evenHBand="0" w:firstRowFirstColumn="0" w:firstRowLastColumn="0" w:lastRowFirstColumn="0" w:lastRowLastColumn="0"/>
            </w:pPr>
            <w:r w:rsidRPr="00312817">
              <w:rPr>
                <w:rFonts w:eastAsia="Times New Roman"/>
              </w:rPr>
              <w:t>2012</w:t>
            </w:r>
          </w:p>
        </w:tc>
      </w:tr>
      <w:tr w:rsidR="00E97595"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E97595" w:rsidRPr="008D6141" w:rsidRDefault="00E97595" w:rsidP="00E97595">
            <w:pPr>
              <w:rPr>
                <w:rFonts w:eastAsia="Times New Roman"/>
              </w:rPr>
            </w:pPr>
            <w:r w:rsidRPr="008D6141">
              <w:rPr>
                <w:rFonts w:eastAsia="Times New Roman"/>
              </w:rPr>
              <w:t>Youth Perception of Risk: Marijuana</w:t>
            </w:r>
          </w:p>
        </w:tc>
        <w:tc>
          <w:tcPr>
            <w:tcW w:w="1854" w:type="pct"/>
            <w:tcBorders>
              <w:top w:val="none" w:sz="0" w:space="0" w:color="auto"/>
              <w:bottom w:val="none" w:sz="0" w:space="0" w:color="auto"/>
            </w:tcBorders>
            <w:noWrap/>
            <w:hideMark/>
          </w:tcPr>
          <w:p w:rsidR="00E97595" w:rsidRPr="008D6141" w:rsidRDefault="00E97595" w:rsidP="00E97595">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tcBorders>
              <w:top w:val="none" w:sz="0" w:space="0" w:color="auto"/>
              <w:bottom w:val="none" w:sz="0" w:space="0" w:color="auto"/>
              <w:right w:val="none" w:sz="0" w:space="0" w:color="auto"/>
            </w:tcBorders>
            <w:noWrap/>
            <w:hideMark/>
          </w:tcPr>
          <w:p w:rsidR="00E97595" w:rsidRDefault="00E97595" w:rsidP="00E97595">
            <w:pPr>
              <w:cnfStyle w:val="000000100000" w:firstRow="0" w:lastRow="0" w:firstColumn="0" w:lastColumn="0" w:oddVBand="0" w:evenVBand="0" w:oddHBand="1" w:evenHBand="0" w:firstRowFirstColumn="0" w:firstRowLastColumn="0" w:lastRowFirstColumn="0" w:lastRowLastColumn="0"/>
            </w:pPr>
            <w:r w:rsidRPr="00312817">
              <w:rPr>
                <w:rFonts w:eastAsia="Times New Roman"/>
              </w:rPr>
              <w:t>2012</w:t>
            </w:r>
          </w:p>
        </w:tc>
      </w:tr>
      <w:tr w:rsidR="00E97595"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E97595" w:rsidRPr="008D6141" w:rsidRDefault="00E97595" w:rsidP="00E97595">
            <w:pPr>
              <w:rPr>
                <w:rFonts w:eastAsia="Times New Roman"/>
              </w:rPr>
            </w:pPr>
            <w:r w:rsidRPr="008D6141">
              <w:rPr>
                <w:rFonts w:eastAsia="Times New Roman"/>
              </w:rPr>
              <w:t>Youth Parent Disapproval: Alcohol</w:t>
            </w:r>
          </w:p>
        </w:tc>
        <w:tc>
          <w:tcPr>
            <w:tcW w:w="1854" w:type="pct"/>
            <w:noWrap/>
            <w:hideMark/>
          </w:tcPr>
          <w:p w:rsidR="00E97595" w:rsidRPr="008D6141" w:rsidRDefault="00E97595" w:rsidP="00E97595">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noWrap/>
            <w:hideMark/>
          </w:tcPr>
          <w:p w:rsidR="00E97595" w:rsidRDefault="00E97595" w:rsidP="00E97595">
            <w:pPr>
              <w:cnfStyle w:val="000000000000" w:firstRow="0" w:lastRow="0" w:firstColumn="0" w:lastColumn="0" w:oddVBand="0" w:evenVBand="0" w:oddHBand="0" w:evenHBand="0" w:firstRowFirstColumn="0" w:firstRowLastColumn="0" w:lastRowFirstColumn="0" w:lastRowLastColumn="0"/>
            </w:pPr>
            <w:r w:rsidRPr="00312817">
              <w:rPr>
                <w:rFonts w:eastAsia="Times New Roman"/>
              </w:rPr>
              <w:t>2012</w:t>
            </w:r>
          </w:p>
        </w:tc>
      </w:tr>
      <w:tr w:rsidR="00E97595"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E97595" w:rsidRPr="008D6141" w:rsidRDefault="00E97595" w:rsidP="00E97595">
            <w:pPr>
              <w:rPr>
                <w:rFonts w:eastAsia="Times New Roman"/>
              </w:rPr>
            </w:pPr>
            <w:r w:rsidRPr="008D6141">
              <w:rPr>
                <w:rFonts w:eastAsia="Times New Roman"/>
              </w:rPr>
              <w:t>Youth Parent Disapproval: Cigarettes</w:t>
            </w:r>
          </w:p>
        </w:tc>
        <w:tc>
          <w:tcPr>
            <w:tcW w:w="1854" w:type="pct"/>
            <w:tcBorders>
              <w:top w:val="none" w:sz="0" w:space="0" w:color="auto"/>
              <w:bottom w:val="none" w:sz="0" w:space="0" w:color="auto"/>
            </w:tcBorders>
            <w:noWrap/>
            <w:hideMark/>
          </w:tcPr>
          <w:p w:rsidR="00E97595" w:rsidRPr="008D6141" w:rsidRDefault="00E97595" w:rsidP="00E97595">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tcBorders>
              <w:top w:val="none" w:sz="0" w:space="0" w:color="auto"/>
              <w:bottom w:val="none" w:sz="0" w:space="0" w:color="auto"/>
              <w:right w:val="none" w:sz="0" w:space="0" w:color="auto"/>
            </w:tcBorders>
            <w:noWrap/>
            <w:hideMark/>
          </w:tcPr>
          <w:p w:rsidR="00E97595" w:rsidRDefault="00E97595" w:rsidP="00E97595">
            <w:pPr>
              <w:cnfStyle w:val="000000100000" w:firstRow="0" w:lastRow="0" w:firstColumn="0" w:lastColumn="0" w:oddVBand="0" w:evenVBand="0" w:oddHBand="1" w:evenHBand="0" w:firstRowFirstColumn="0" w:firstRowLastColumn="0" w:lastRowFirstColumn="0" w:lastRowLastColumn="0"/>
            </w:pPr>
            <w:r w:rsidRPr="00312817">
              <w:rPr>
                <w:rFonts w:eastAsia="Times New Roman"/>
              </w:rPr>
              <w:t>2012</w:t>
            </w:r>
          </w:p>
        </w:tc>
      </w:tr>
      <w:tr w:rsidR="00E97595"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E97595" w:rsidRPr="008D6141" w:rsidRDefault="00E97595" w:rsidP="006D1A5D">
            <w:pPr>
              <w:rPr>
                <w:rFonts w:eastAsia="Times New Roman"/>
              </w:rPr>
            </w:pPr>
            <w:r w:rsidRPr="008D6141">
              <w:rPr>
                <w:rFonts w:eastAsia="Times New Roman"/>
              </w:rPr>
              <w:t>Youth Parent Disapproval: Marijuana</w:t>
            </w:r>
          </w:p>
        </w:tc>
        <w:tc>
          <w:tcPr>
            <w:tcW w:w="1854" w:type="pct"/>
            <w:noWrap/>
            <w:hideMark/>
          </w:tcPr>
          <w:p w:rsidR="00E97595" w:rsidRPr="008D6141" w:rsidRDefault="00E97595" w:rsidP="006D1A5D">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noWrap/>
            <w:hideMark/>
          </w:tcPr>
          <w:p w:rsidR="00E97595" w:rsidRDefault="00E97595">
            <w:pPr>
              <w:cnfStyle w:val="000000000000" w:firstRow="0" w:lastRow="0" w:firstColumn="0" w:lastColumn="0" w:oddVBand="0" w:evenVBand="0" w:oddHBand="0" w:evenHBand="0" w:firstRowFirstColumn="0" w:firstRowLastColumn="0" w:lastRowFirstColumn="0" w:lastRowLastColumn="0"/>
            </w:pPr>
            <w:r w:rsidRPr="00EB6594">
              <w:rPr>
                <w:rFonts w:eastAsia="Times New Roman"/>
              </w:rPr>
              <w:t>2012</w:t>
            </w:r>
          </w:p>
        </w:tc>
      </w:tr>
      <w:tr w:rsidR="00E97595"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E97595" w:rsidRPr="008D6141" w:rsidRDefault="00E97595" w:rsidP="006D1A5D">
            <w:pPr>
              <w:rPr>
                <w:rFonts w:eastAsia="Times New Roman"/>
              </w:rPr>
            </w:pPr>
            <w:r w:rsidRPr="008D6141">
              <w:rPr>
                <w:rFonts w:eastAsia="Times New Roman"/>
              </w:rPr>
              <w:t>Youth Peer Disapproval: Alcohol</w:t>
            </w:r>
          </w:p>
        </w:tc>
        <w:tc>
          <w:tcPr>
            <w:tcW w:w="1854" w:type="pct"/>
            <w:tcBorders>
              <w:top w:val="none" w:sz="0" w:space="0" w:color="auto"/>
              <w:bottom w:val="none" w:sz="0" w:space="0" w:color="auto"/>
            </w:tcBorders>
            <w:noWrap/>
            <w:hideMark/>
          </w:tcPr>
          <w:p w:rsidR="00E97595" w:rsidRPr="008D6141" w:rsidRDefault="00E97595" w:rsidP="006D1A5D">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tcBorders>
              <w:top w:val="none" w:sz="0" w:space="0" w:color="auto"/>
              <w:bottom w:val="none" w:sz="0" w:space="0" w:color="auto"/>
              <w:right w:val="none" w:sz="0" w:space="0" w:color="auto"/>
            </w:tcBorders>
            <w:noWrap/>
            <w:hideMark/>
          </w:tcPr>
          <w:p w:rsidR="00E97595" w:rsidRDefault="00E97595">
            <w:pPr>
              <w:cnfStyle w:val="000000100000" w:firstRow="0" w:lastRow="0" w:firstColumn="0" w:lastColumn="0" w:oddVBand="0" w:evenVBand="0" w:oddHBand="1" w:evenHBand="0" w:firstRowFirstColumn="0" w:firstRowLastColumn="0" w:lastRowFirstColumn="0" w:lastRowLastColumn="0"/>
            </w:pPr>
            <w:r w:rsidRPr="00EB6594">
              <w:rPr>
                <w:rFonts w:eastAsia="Times New Roman"/>
              </w:rPr>
              <w:t>2012</w:t>
            </w:r>
          </w:p>
        </w:tc>
      </w:tr>
      <w:tr w:rsidR="00E97595" w:rsidRPr="008D6141" w:rsidTr="00E97595">
        <w:trPr>
          <w:cantSplit/>
          <w:trHeight w:val="300"/>
        </w:trPr>
        <w:tc>
          <w:tcPr>
            <w:cnfStyle w:val="001000000000" w:firstRow="0" w:lastRow="0" w:firstColumn="1" w:lastColumn="0" w:oddVBand="0" w:evenVBand="0" w:oddHBand="0" w:evenHBand="0" w:firstRowFirstColumn="0" w:firstRowLastColumn="0" w:lastRowFirstColumn="0" w:lastRowLastColumn="0"/>
            <w:tcW w:w="2262" w:type="pct"/>
            <w:noWrap/>
            <w:hideMark/>
          </w:tcPr>
          <w:p w:rsidR="00E97595" w:rsidRPr="008D6141" w:rsidRDefault="00E97595" w:rsidP="006D1A5D">
            <w:pPr>
              <w:rPr>
                <w:rFonts w:eastAsia="Times New Roman"/>
              </w:rPr>
            </w:pPr>
            <w:r w:rsidRPr="008D6141">
              <w:rPr>
                <w:rFonts w:eastAsia="Times New Roman"/>
              </w:rPr>
              <w:lastRenderedPageBreak/>
              <w:t>Youth Peer Disapproval: Cigarette Use</w:t>
            </w:r>
          </w:p>
        </w:tc>
        <w:tc>
          <w:tcPr>
            <w:tcW w:w="1854" w:type="pct"/>
            <w:noWrap/>
            <w:hideMark/>
          </w:tcPr>
          <w:p w:rsidR="00E97595" w:rsidRPr="008D6141" w:rsidRDefault="00E97595" w:rsidP="006D1A5D">
            <w:pPr>
              <w:cnfStyle w:val="000000000000" w:firstRow="0" w:lastRow="0" w:firstColumn="0" w:lastColumn="0" w:oddVBand="0" w:evenVBand="0" w:oddHBand="0"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noWrap/>
            <w:hideMark/>
          </w:tcPr>
          <w:p w:rsidR="00E97595" w:rsidRDefault="00E97595">
            <w:pPr>
              <w:cnfStyle w:val="000000000000" w:firstRow="0" w:lastRow="0" w:firstColumn="0" w:lastColumn="0" w:oddVBand="0" w:evenVBand="0" w:oddHBand="0" w:evenHBand="0" w:firstRowFirstColumn="0" w:firstRowLastColumn="0" w:lastRowFirstColumn="0" w:lastRowLastColumn="0"/>
            </w:pPr>
            <w:r w:rsidRPr="00EB6594">
              <w:rPr>
                <w:rFonts w:eastAsia="Times New Roman"/>
              </w:rPr>
              <w:t>2012</w:t>
            </w:r>
          </w:p>
        </w:tc>
      </w:tr>
      <w:tr w:rsidR="00E97595" w:rsidRPr="008D6141" w:rsidTr="00E97595">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262" w:type="pct"/>
            <w:tcBorders>
              <w:top w:val="none" w:sz="0" w:space="0" w:color="auto"/>
              <w:left w:val="none" w:sz="0" w:space="0" w:color="auto"/>
              <w:bottom w:val="none" w:sz="0" w:space="0" w:color="auto"/>
            </w:tcBorders>
            <w:noWrap/>
            <w:hideMark/>
          </w:tcPr>
          <w:p w:rsidR="00E97595" w:rsidRPr="008D6141" w:rsidRDefault="00E97595" w:rsidP="006D1A5D">
            <w:pPr>
              <w:rPr>
                <w:rFonts w:eastAsia="Times New Roman"/>
              </w:rPr>
            </w:pPr>
            <w:r w:rsidRPr="008D6141">
              <w:rPr>
                <w:rFonts w:eastAsia="Times New Roman"/>
              </w:rPr>
              <w:t>Youth Peer Disapproval: Marijuana</w:t>
            </w:r>
          </w:p>
        </w:tc>
        <w:tc>
          <w:tcPr>
            <w:tcW w:w="1854" w:type="pct"/>
            <w:tcBorders>
              <w:top w:val="none" w:sz="0" w:space="0" w:color="auto"/>
              <w:bottom w:val="none" w:sz="0" w:space="0" w:color="auto"/>
            </w:tcBorders>
            <w:noWrap/>
            <w:hideMark/>
          </w:tcPr>
          <w:p w:rsidR="00E97595" w:rsidRPr="008D6141" w:rsidRDefault="00E97595" w:rsidP="006D1A5D">
            <w:pPr>
              <w:cnfStyle w:val="000000100000" w:firstRow="0" w:lastRow="0" w:firstColumn="0" w:lastColumn="0" w:oddVBand="0" w:evenVBand="0" w:oddHBand="1" w:evenHBand="0" w:firstRowFirstColumn="0" w:firstRowLastColumn="0" w:lastRowFirstColumn="0" w:lastRowLastColumn="0"/>
              <w:rPr>
                <w:rFonts w:eastAsia="Times New Roman"/>
              </w:rPr>
            </w:pPr>
            <w:r w:rsidRPr="008D6141">
              <w:rPr>
                <w:rFonts w:eastAsia="Times New Roman"/>
              </w:rPr>
              <w:t>Caring Communities Youth Survey</w:t>
            </w:r>
            <w:r>
              <w:rPr>
                <w:rFonts w:eastAsia="Times New Roman"/>
              </w:rPr>
              <w:t xml:space="preserve"> (CCYS)</w:t>
            </w:r>
          </w:p>
        </w:tc>
        <w:tc>
          <w:tcPr>
            <w:tcW w:w="884" w:type="pct"/>
            <w:tcBorders>
              <w:top w:val="none" w:sz="0" w:space="0" w:color="auto"/>
              <w:bottom w:val="none" w:sz="0" w:space="0" w:color="auto"/>
              <w:right w:val="none" w:sz="0" w:space="0" w:color="auto"/>
            </w:tcBorders>
            <w:noWrap/>
            <w:hideMark/>
          </w:tcPr>
          <w:p w:rsidR="00E97595" w:rsidRDefault="00E97595">
            <w:pPr>
              <w:cnfStyle w:val="000000100000" w:firstRow="0" w:lastRow="0" w:firstColumn="0" w:lastColumn="0" w:oddVBand="0" w:evenVBand="0" w:oddHBand="1" w:evenHBand="0" w:firstRowFirstColumn="0" w:firstRowLastColumn="0" w:lastRowFirstColumn="0" w:lastRowLastColumn="0"/>
            </w:pPr>
            <w:r w:rsidRPr="00EB6594">
              <w:rPr>
                <w:rFonts w:eastAsia="Times New Roman"/>
              </w:rPr>
              <w:t>2012</w:t>
            </w:r>
          </w:p>
        </w:tc>
      </w:tr>
    </w:tbl>
    <w:p w:rsidR="008D6141" w:rsidRDefault="008D6141" w:rsidP="006D1A5D"/>
    <w:p w:rsidR="0013443F" w:rsidRDefault="0013443F" w:rsidP="006D1A5D"/>
    <w:p w:rsidR="0013443F" w:rsidRDefault="0013443F" w:rsidP="007C3FA7"/>
    <w:sectPr w:rsidR="0013443F" w:rsidSect="000F7E94">
      <w:footerReference w:type="default" r:id="rId64"/>
      <w:pgSz w:w="12240" w:h="15840"/>
      <w:pgMar w:top="1440" w:right="1152" w:bottom="1152" w:left="1152" w:header="720" w:footer="216"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251E" w:rsidRDefault="00FB251E" w:rsidP="006D1A5D">
      <w:r>
        <w:separator/>
      </w:r>
    </w:p>
    <w:p w:rsidR="00FB251E" w:rsidRDefault="00FB251E" w:rsidP="006D1A5D"/>
    <w:p w:rsidR="00FB251E" w:rsidRDefault="00FB251E" w:rsidP="006D1A5D"/>
  </w:endnote>
  <w:endnote w:type="continuationSeparator" w:id="0">
    <w:p w:rsidR="00FB251E" w:rsidRDefault="00FB251E" w:rsidP="006D1A5D">
      <w:r>
        <w:continuationSeparator/>
      </w:r>
    </w:p>
    <w:p w:rsidR="00FB251E" w:rsidRDefault="00FB251E" w:rsidP="006D1A5D"/>
    <w:p w:rsidR="00FB251E" w:rsidRDefault="00FB251E" w:rsidP="006D1A5D"/>
  </w:endnote>
  <w:endnote w:type="continuationNotice" w:id="1">
    <w:p w:rsidR="00FB251E" w:rsidRDefault="00FB251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14208"/>
      <w:docPartObj>
        <w:docPartGallery w:val="Page Numbers (Bottom of Page)"/>
        <w:docPartUnique/>
      </w:docPartObj>
    </w:sdtPr>
    <w:sdtEndPr/>
    <w:sdtContent>
      <w:p w:rsidR="00FB251E" w:rsidRPr="00333987" w:rsidRDefault="00FB251E" w:rsidP="006D1A5D">
        <w:pPr>
          <w:pStyle w:val="Footer"/>
        </w:pPr>
        <w:r w:rsidRPr="00333987">
          <w:rPr>
            <w:noProof/>
            <w:color w:val="FFFFFF" w:themeColor="background1"/>
          </w:rPr>
          <w:drawing>
            <wp:anchor distT="0" distB="0" distL="114300" distR="114300" simplePos="0" relativeHeight="251656192" behindDoc="1" locked="0" layoutInCell="1" allowOverlap="1">
              <wp:simplePos x="0" y="0"/>
              <wp:positionH relativeFrom="column">
                <wp:align>center</wp:align>
              </wp:positionH>
              <wp:positionV relativeFrom="paragraph">
                <wp:posOffset>-129961</wp:posOffset>
              </wp:positionV>
              <wp:extent cx="7769258" cy="534390"/>
              <wp:effectExtent l="19050" t="0" r="3142" b="0"/>
              <wp:wrapNone/>
              <wp:docPr id="38" name="Picture 1" descr="C:\Users\aseal\Documents\Amy's Documents\GARY\Substance Abuse\subtance abuse profile colors&amp;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eal\Documents\Amy's Documents\GARY\Substance Abuse\subtance abuse profile colors&amp;template.jpg"/>
                      <pic:cNvPicPr>
                        <a:picLocks noChangeAspect="1" noChangeArrowheads="1"/>
                      </pic:cNvPicPr>
                    </pic:nvPicPr>
                    <pic:blipFill>
                      <a:blip r:embed="rId1"/>
                      <a:srcRect t="94678"/>
                      <a:stretch>
                        <a:fillRect/>
                      </a:stretch>
                    </pic:blipFill>
                    <pic:spPr bwMode="auto">
                      <a:xfrm>
                        <a:off x="0" y="0"/>
                        <a:ext cx="7769258" cy="534390"/>
                      </a:xfrm>
                      <a:prstGeom prst="rect">
                        <a:avLst/>
                      </a:prstGeom>
                      <a:noFill/>
                      <a:ln w="9525">
                        <a:noFill/>
                        <a:miter lim="800000"/>
                        <a:headEnd/>
                        <a:tailEnd/>
                      </a:ln>
                    </pic:spPr>
                  </pic:pic>
                </a:graphicData>
              </a:graphic>
            </wp:anchor>
          </w:drawing>
        </w:r>
        <w:r w:rsidRPr="00333987">
          <w:rPr>
            <w:color w:val="FFFFFF" w:themeColor="background1"/>
          </w:rPr>
          <w:t xml:space="preserve">  </w:t>
        </w:r>
      </w:p>
    </w:sdtContent>
  </w:sdt>
  <w:p w:rsidR="00FB251E" w:rsidRDefault="00FB251E" w:rsidP="006D1A5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5272413"/>
      <w:docPartObj>
        <w:docPartGallery w:val="Page Numbers (Bottom of Page)"/>
        <w:docPartUnique/>
      </w:docPartObj>
    </w:sdtPr>
    <w:sdtEndPr>
      <w:rPr>
        <w:color w:val="FFFFFF" w:themeColor="background1"/>
      </w:rPr>
    </w:sdtEndPr>
    <w:sdtContent>
      <w:p w:rsidR="00FB251E" w:rsidRPr="006D0DB0" w:rsidRDefault="00FB251E" w:rsidP="006D1A5D">
        <w:pPr>
          <w:pStyle w:val="Footer"/>
          <w:rPr>
            <w:color w:val="FFFFFF" w:themeColor="background1"/>
          </w:rPr>
        </w:pPr>
        <w:r w:rsidRPr="00333987">
          <w:rPr>
            <w:noProof/>
          </w:rPr>
          <w:drawing>
            <wp:anchor distT="0" distB="0" distL="114300" distR="114300" simplePos="0" relativeHeight="251658240" behindDoc="1" locked="0" layoutInCell="1" allowOverlap="1">
              <wp:simplePos x="0" y="0"/>
              <wp:positionH relativeFrom="column">
                <wp:align>center</wp:align>
              </wp:positionH>
              <wp:positionV relativeFrom="paragraph">
                <wp:posOffset>-129961</wp:posOffset>
              </wp:positionV>
              <wp:extent cx="7769258" cy="534390"/>
              <wp:effectExtent l="19050" t="0" r="3142" b="0"/>
              <wp:wrapNone/>
              <wp:docPr id="55" name="Picture 1" descr="C:\Users\aseal\Documents\Amy's Documents\GARY\Substance Abuse\subtance abuse profile colors&amp;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eal\Documents\Amy's Documents\GARY\Substance Abuse\subtance abuse profile colors&amp;template.jpg"/>
                      <pic:cNvPicPr>
                        <a:picLocks noChangeAspect="1" noChangeArrowheads="1"/>
                      </pic:cNvPicPr>
                    </pic:nvPicPr>
                    <pic:blipFill>
                      <a:blip r:embed="rId1"/>
                      <a:srcRect t="94678"/>
                      <a:stretch>
                        <a:fillRect/>
                      </a:stretch>
                    </pic:blipFill>
                    <pic:spPr bwMode="auto">
                      <a:xfrm>
                        <a:off x="0" y="0"/>
                        <a:ext cx="7769258" cy="534390"/>
                      </a:xfrm>
                      <a:prstGeom prst="rect">
                        <a:avLst/>
                      </a:prstGeom>
                      <a:noFill/>
                      <a:ln w="9525">
                        <a:noFill/>
                        <a:miter lim="800000"/>
                        <a:headEnd/>
                        <a:tailEnd/>
                      </a:ln>
                    </pic:spPr>
                  </pic:pic>
                </a:graphicData>
              </a:graphic>
            </wp:anchor>
          </w:drawing>
        </w:r>
        <w:r w:rsidRPr="00333987">
          <w:t xml:space="preserve">  </w:t>
        </w:r>
        <w:r>
          <w:tab/>
        </w:r>
        <w:r>
          <w:tab/>
        </w:r>
        <w:r w:rsidRPr="006D0DB0">
          <w:rPr>
            <w:color w:val="FFFFFF" w:themeColor="background1"/>
          </w:rPr>
          <w:fldChar w:fldCharType="begin"/>
        </w:r>
        <w:r w:rsidRPr="006D0DB0">
          <w:rPr>
            <w:color w:val="FFFFFF" w:themeColor="background1"/>
          </w:rPr>
          <w:instrText xml:space="preserve"> PAGE   \* MERGEFORMAT </w:instrText>
        </w:r>
        <w:r w:rsidRPr="006D0DB0">
          <w:rPr>
            <w:color w:val="FFFFFF" w:themeColor="background1"/>
          </w:rPr>
          <w:fldChar w:fldCharType="separate"/>
        </w:r>
        <w:r w:rsidR="00205C46">
          <w:rPr>
            <w:noProof/>
            <w:color w:val="FFFFFF" w:themeColor="background1"/>
          </w:rPr>
          <w:t>i</w:t>
        </w:r>
        <w:r w:rsidRPr="006D0DB0">
          <w:rPr>
            <w:color w:val="FFFFFF" w:themeColor="background1"/>
          </w:rPr>
          <w:fldChar w:fldCharType="end"/>
        </w:r>
      </w:p>
    </w:sdtContent>
  </w:sdt>
  <w:p w:rsidR="00FB251E" w:rsidRDefault="00FB251E" w:rsidP="006D1A5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4056311"/>
      <w:docPartObj>
        <w:docPartGallery w:val="Page Numbers (Bottom of Page)"/>
        <w:docPartUnique/>
      </w:docPartObj>
    </w:sdtPr>
    <w:sdtEndPr>
      <w:rPr>
        <w:color w:val="FFFFFF" w:themeColor="background1"/>
      </w:rPr>
    </w:sdtEndPr>
    <w:sdtContent>
      <w:p w:rsidR="00FB251E" w:rsidRPr="006D0DB0" w:rsidRDefault="00FB251E" w:rsidP="006D1A5D">
        <w:pPr>
          <w:pStyle w:val="Footer"/>
          <w:rPr>
            <w:color w:val="FFFFFF" w:themeColor="background1"/>
          </w:rPr>
        </w:pPr>
        <w:r w:rsidRPr="00333987">
          <w:rPr>
            <w:noProof/>
          </w:rPr>
          <w:drawing>
            <wp:anchor distT="0" distB="0" distL="114300" distR="114300" simplePos="0" relativeHeight="251657216" behindDoc="1" locked="0" layoutInCell="1" allowOverlap="1">
              <wp:simplePos x="0" y="0"/>
              <wp:positionH relativeFrom="column">
                <wp:align>center</wp:align>
              </wp:positionH>
              <wp:positionV relativeFrom="paragraph">
                <wp:posOffset>-129961</wp:posOffset>
              </wp:positionV>
              <wp:extent cx="7769258" cy="534390"/>
              <wp:effectExtent l="19050" t="0" r="3142" b="0"/>
              <wp:wrapNone/>
              <wp:docPr id="56" name="Picture 1" descr="C:\Users\aseal\Documents\Amy's Documents\GARY\Substance Abuse\subtance abuse profile colors&amp;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eal\Documents\Amy's Documents\GARY\Substance Abuse\subtance abuse profile colors&amp;template.jpg"/>
                      <pic:cNvPicPr>
                        <a:picLocks noChangeAspect="1" noChangeArrowheads="1"/>
                      </pic:cNvPicPr>
                    </pic:nvPicPr>
                    <pic:blipFill>
                      <a:blip r:embed="rId1"/>
                      <a:srcRect t="94678"/>
                      <a:stretch>
                        <a:fillRect/>
                      </a:stretch>
                    </pic:blipFill>
                    <pic:spPr bwMode="auto">
                      <a:xfrm>
                        <a:off x="0" y="0"/>
                        <a:ext cx="7769258" cy="534390"/>
                      </a:xfrm>
                      <a:prstGeom prst="rect">
                        <a:avLst/>
                      </a:prstGeom>
                      <a:noFill/>
                      <a:ln w="9525">
                        <a:noFill/>
                        <a:miter lim="800000"/>
                        <a:headEnd/>
                        <a:tailEnd/>
                      </a:ln>
                    </pic:spPr>
                  </pic:pic>
                </a:graphicData>
              </a:graphic>
            </wp:anchor>
          </w:drawing>
        </w:r>
        <w:r w:rsidRPr="00333987">
          <w:t xml:space="preserve"> </w:t>
        </w:r>
        <w:r>
          <w:tab/>
        </w:r>
        <w:r>
          <w:tab/>
        </w:r>
        <w:r w:rsidRPr="00333987">
          <w:t xml:space="preserve"> </w:t>
        </w:r>
        <w:r w:rsidRPr="006D0DB0">
          <w:rPr>
            <w:color w:val="FFFFFF" w:themeColor="background1"/>
          </w:rPr>
          <w:fldChar w:fldCharType="begin"/>
        </w:r>
        <w:r w:rsidRPr="006D0DB0">
          <w:rPr>
            <w:color w:val="FFFFFF" w:themeColor="background1"/>
          </w:rPr>
          <w:instrText xml:space="preserve"> PAGE   \* MERGEFORMAT </w:instrText>
        </w:r>
        <w:r w:rsidRPr="006D0DB0">
          <w:rPr>
            <w:color w:val="FFFFFF" w:themeColor="background1"/>
          </w:rPr>
          <w:fldChar w:fldCharType="separate"/>
        </w:r>
        <w:r w:rsidR="00205C46">
          <w:rPr>
            <w:noProof/>
            <w:color w:val="FFFFFF" w:themeColor="background1"/>
          </w:rPr>
          <w:t>v</w:t>
        </w:r>
        <w:r w:rsidRPr="006D0DB0">
          <w:rPr>
            <w:color w:val="FFFFFF" w:themeColor="background1"/>
          </w:rPr>
          <w:fldChar w:fldCharType="end"/>
        </w:r>
      </w:p>
    </w:sdtContent>
  </w:sdt>
  <w:p w:rsidR="00FB251E" w:rsidRDefault="00FB251E" w:rsidP="006D1A5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17971"/>
      <w:docPartObj>
        <w:docPartGallery w:val="Page Numbers (Bottom of Page)"/>
        <w:docPartUnique/>
      </w:docPartObj>
    </w:sdtPr>
    <w:sdtEndPr>
      <w:rPr>
        <w:color w:val="FFFFFF" w:themeColor="background1"/>
      </w:rPr>
    </w:sdtEndPr>
    <w:sdtContent>
      <w:p w:rsidR="00FB251E" w:rsidRPr="006D1A5D" w:rsidRDefault="00FB251E" w:rsidP="006D1A5D">
        <w:pPr>
          <w:pStyle w:val="Footer"/>
        </w:pPr>
        <w:r w:rsidRPr="00333987">
          <w:rPr>
            <w:noProof/>
          </w:rPr>
          <w:drawing>
            <wp:anchor distT="0" distB="0" distL="114300" distR="114300" simplePos="0" relativeHeight="251659264" behindDoc="1" locked="0" layoutInCell="1" allowOverlap="1">
              <wp:simplePos x="0" y="0"/>
              <wp:positionH relativeFrom="column">
                <wp:align>center</wp:align>
              </wp:positionH>
              <wp:positionV relativeFrom="paragraph">
                <wp:posOffset>-129961</wp:posOffset>
              </wp:positionV>
              <wp:extent cx="7769258" cy="534390"/>
              <wp:effectExtent l="19050" t="0" r="3142" b="0"/>
              <wp:wrapNone/>
              <wp:docPr id="14" name="Picture 1" descr="C:\Users\aseal\Documents\Amy's Documents\GARY\Substance Abuse\subtance abuse profile colors&amp;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eal\Documents\Amy's Documents\GARY\Substance Abuse\subtance abuse profile colors&amp;template.jpg"/>
                      <pic:cNvPicPr>
                        <a:picLocks noChangeAspect="1" noChangeArrowheads="1"/>
                      </pic:cNvPicPr>
                    </pic:nvPicPr>
                    <pic:blipFill>
                      <a:blip r:embed="rId1"/>
                      <a:srcRect t="94678"/>
                      <a:stretch>
                        <a:fillRect/>
                      </a:stretch>
                    </pic:blipFill>
                    <pic:spPr bwMode="auto">
                      <a:xfrm>
                        <a:off x="0" y="0"/>
                        <a:ext cx="7769258" cy="534390"/>
                      </a:xfrm>
                      <a:prstGeom prst="rect">
                        <a:avLst/>
                      </a:prstGeom>
                      <a:noFill/>
                      <a:ln w="9525">
                        <a:noFill/>
                        <a:miter lim="800000"/>
                        <a:headEnd/>
                        <a:tailEnd/>
                      </a:ln>
                    </pic:spPr>
                  </pic:pic>
                </a:graphicData>
              </a:graphic>
            </wp:anchor>
          </w:drawing>
        </w:r>
        <w:r w:rsidRPr="00333987">
          <w:t xml:space="preserve">  </w:t>
        </w:r>
        <w:r>
          <w:tab/>
        </w:r>
        <w:r>
          <w:tab/>
        </w:r>
        <w:r w:rsidRPr="006D1A5D">
          <w:rPr>
            <w:color w:val="FFFFFF" w:themeColor="background1"/>
          </w:rPr>
          <w:fldChar w:fldCharType="begin"/>
        </w:r>
        <w:r w:rsidRPr="006D1A5D">
          <w:rPr>
            <w:color w:val="FFFFFF" w:themeColor="background1"/>
          </w:rPr>
          <w:instrText xml:space="preserve"> PAGE   \* MERGEFORMAT </w:instrText>
        </w:r>
        <w:r w:rsidRPr="006D1A5D">
          <w:rPr>
            <w:color w:val="FFFFFF" w:themeColor="background1"/>
          </w:rPr>
          <w:fldChar w:fldCharType="separate"/>
        </w:r>
        <w:r w:rsidR="00205C46">
          <w:rPr>
            <w:noProof/>
            <w:color w:val="FFFFFF" w:themeColor="background1"/>
          </w:rPr>
          <w:t>1</w:t>
        </w:r>
        <w:r w:rsidRPr="006D1A5D">
          <w:rPr>
            <w:color w:val="FFFFFF" w:themeColor="background1"/>
          </w:rPr>
          <w:fldChar w:fldCharType="end"/>
        </w:r>
      </w:p>
    </w:sdtContent>
  </w:sdt>
  <w:p w:rsidR="00FB251E" w:rsidRDefault="00FB251E" w:rsidP="006D1A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251E" w:rsidRDefault="00FB251E" w:rsidP="006D1A5D">
      <w:r>
        <w:separator/>
      </w:r>
    </w:p>
  </w:footnote>
  <w:footnote w:type="continuationSeparator" w:id="0">
    <w:p w:rsidR="00FB251E" w:rsidRDefault="00FB251E" w:rsidP="006D1A5D">
      <w:r>
        <w:continuationSeparator/>
      </w:r>
    </w:p>
    <w:p w:rsidR="00FB251E" w:rsidRDefault="00FB251E" w:rsidP="006D1A5D"/>
    <w:p w:rsidR="00FB251E" w:rsidRDefault="00FB251E" w:rsidP="006D1A5D"/>
  </w:footnote>
  <w:footnote w:type="continuationNotice" w:id="1">
    <w:p w:rsidR="00FB251E" w:rsidRDefault="00FB251E">
      <w:pPr>
        <w:spacing w:after="0" w:line="240" w:lineRule="auto"/>
      </w:pPr>
    </w:p>
  </w:footnote>
  <w:footnote w:id="2">
    <w:p w:rsidR="00FB251E" w:rsidRDefault="00FB251E" w:rsidP="006D1A5D">
      <w:pPr>
        <w:pStyle w:val="FootnoteText"/>
      </w:pPr>
      <w:r>
        <w:rPr>
          <w:rStyle w:val="FootnoteReference"/>
        </w:rPr>
        <w:footnoteRef/>
      </w:r>
      <w:r>
        <w:t xml:space="preserve"> Louisiana Statewide Substance Abuse Epidemiology Profile, 2009, available for download at </w:t>
      </w:r>
      <w:hyperlink r:id="rId1" w:history="1">
        <w:r>
          <w:rPr>
            <w:rStyle w:val="Hyperlink"/>
          </w:rPr>
          <w:t>http://www.gov.state.la.us/index.cfm?md=pagebuilder&amp;tmp=home&amp;cpID=125</w:t>
        </w:r>
      </w:hyperlink>
      <w:r>
        <w:t xml:space="preserve">. </w:t>
      </w:r>
    </w:p>
  </w:footnote>
  <w:footnote w:id="3">
    <w:p w:rsidR="00FB251E" w:rsidRDefault="00FB251E" w:rsidP="006D1A5D">
      <w:pPr>
        <w:pStyle w:val="FootnoteText"/>
      </w:pPr>
      <w:r>
        <w:rPr>
          <w:rStyle w:val="FootnoteReference"/>
        </w:rPr>
        <w:footnoteRef/>
      </w:r>
      <w:r>
        <w:t xml:space="preserve"> The </w:t>
      </w:r>
      <w:r w:rsidRPr="00B272F7">
        <w:t>Louisiana State Epidemiological Workgroup Online Data System</w:t>
      </w:r>
      <w:r>
        <w:t xml:space="preserve"> is accessible at </w:t>
      </w:r>
      <w:hyperlink r:id="rId2" w:history="1">
        <w:r>
          <w:rPr>
            <w:rStyle w:val="Hyperlink"/>
          </w:rPr>
          <w:t>http://www.bach-harrison.com/lasocialindicators/</w:t>
        </w:r>
      </w:hyperlink>
      <w:r>
        <w:t xml:space="preserve">. </w:t>
      </w:r>
    </w:p>
  </w:footnote>
  <w:footnote w:id="4">
    <w:p w:rsidR="00FB251E" w:rsidRDefault="00FB251E" w:rsidP="006D1A5D">
      <w:pPr>
        <w:pStyle w:val="FootnoteText"/>
      </w:pPr>
      <w:r>
        <w:rPr>
          <w:rStyle w:val="FootnoteReference"/>
        </w:rPr>
        <w:footnoteRef/>
      </w:r>
      <w:r>
        <w:t xml:space="preserve"> Originally, “Water, water, everywhere, </w:t>
      </w:r>
      <w:proofErr w:type="gramStart"/>
      <w:r>
        <w:t>Nor</w:t>
      </w:r>
      <w:proofErr w:type="gramEnd"/>
      <w:r>
        <w:t xml:space="preserve"> any drop to drink.”</w:t>
      </w:r>
    </w:p>
  </w:footnote>
  <w:footnote w:id="5">
    <w:p w:rsidR="00FB251E" w:rsidRDefault="00FB251E" w:rsidP="006D1A5D">
      <w:pPr>
        <w:pStyle w:val="FootnoteText"/>
      </w:pPr>
      <w:r>
        <w:rPr>
          <w:rStyle w:val="FootnoteReference"/>
        </w:rPr>
        <w:footnoteRef/>
      </w:r>
      <w:r>
        <w:t xml:space="preserve"> For readers that may not be residents of Louisiana, parishes are the equivalent of counties in other states.</w:t>
      </w:r>
    </w:p>
  </w:footnote>
  <w:footnote w:id="6">
    <w:p w:rsidR="00FB251E" w:rsidRDefault="00FB251E" w:rsidP="006D1A5D">
      <w:pPr>
        <w:pStyle w:val="FootnoteText"/>
      </w:pPr>
      <w:r>
        <w:rPr>
          <w:rStyle w:val="FootnoteReference"/>
        </w:rPr>
        <w:footnoteRef/>
      </w:r>
      <w:r>
        <w:t xml:space="preserve"> The poverty level depends on family configuration. Currently, the poverty household income threshold for a family of four is $23,550 and for a single parent household with a single child is $15,510.  The latest guidance is available at </w:t>
      </w:r>
      <w:hyperlink r:id="rId3" w:history="1">
        <w:r w:rsidRPr="00C31689">
          <w:rPr>
            <w:rStyle w:val="Hyperlink"/>
          </w:rPr>
          <w:t>http://aspe.hhs.gov/poverty/13poverty.cfm</w:t>
        </w:r>
      </w:hyperlink>
      <w:r>
        <w:t xml:space="preserve">. </w:t>
      </w:r>
    </w:p>
  </w:footnote>
  <w:footnote w:id="7">
    <w:p w:rsidR="00FB251E" w:rsidRDefault="00FB251E">
      <w:pPr>
        <w:pStyle w:val="FootnoteText"/>
      </w:pPr>
      <w:r>
        <w:rPr>
          <w:rStyle w:val="FootnoteReference"/>
        </w:rPr>
        <w:footnoteRef/>
      </w:r>
      <w:r>
        <w:t xml:space="preserve"> See “</w:t>
      </w:r>
      <w:proofErr w:type="spellStart"/>
      <w:r w:rsidRPr="00085BF8">
        <w:t>Methodologic</w:t>
      </w:r>
      <w:proofErr w:type="spellEnd"/>
      <w:r w:rsidRPr="00085BF8">
        <w:t xml:space="preserve"> Changes in the Behavioral Risk Factor Surveillance System in 2011 and Potential Effects on Prevalence Estimates</w:t>
      </w:r>
      <w:r>
        <w:t xml:space="preserve">”, CDC Morbidity and Mortality Report June 8, 2012, accessed May 1, 2013 at </w:t>
      </w:r>
      <w:hyperlink r:id="rId4" w:history="1">
        <w:r>
          <w:rPr>
            <w:rStyle w:val="Hyperlink"/>
          </w:rPr>
          <w:t>http://www.cdc.gov/mmwr/preview/mmwrhtml/mm6122a3.htm</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251E" w:rsidRPr="008D28AC" w:rsidRDefault="00FB251E" w:rsidP="006D1A5D">
    <w:pPr>
      <w:pStyle w:val="Header"/>
    </w:pPr>
    <w:r w:rsidRPr="008D28AC">
      <w:rPr>
        <w:noProof/>
      </w:rPr>
      <w:drawing>
        <wp:anchor distT="0" distB="0" distL="114300" distR="114300" simplePos="0" relativeHeight="251655168" behindDoc="1" locked="0" layoutInCell="1" allowOverlap="1">
          <wp:simplePos x="0" y="0"/>
          <wp:positionH relativeFrom="column">
            <wp:align>center</wp:align>
          </wp:positionH>
          <wp:positionV relativeFrom="paragraph">
            <wp:posOffset>-447675</wp:posOffset>
          </wp:positionV>
          <wp:extent cx="7772400" cy="409575"/>
          <wp:effectExtent l="19050" t="0" r="0" b="0"/>
          <wp:wrapNone/>
          <wp:docPr id="37" name="Picture 1" descr="C:\Users\aseal\Documents\Amy's Documents\GARY\Substance Abuse\subtance abuse profile colors&amp;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eal\Documents\Amy's Documents\GARY\Substance Abuse\subtance abuse profile colors&amp;template.jpg"/>
                  <pic:cNvPicPr>
                    <a:picLocks noChangeAspect="1" noChangeArrowheads="1"/>
                  </pic:cNvPicPr>
                </pic:nvPicPr>
                <pic:blipFill>
                  <a:blip r:embed="rId1"/>
                  <a:srcRect t="80198" b="15718"/>
                  <a:stretch>
                    <a:fillRect/>
                  </a:stretch>
                </pic:blipFill>
                <pic:spPr bwMode="auto">
                  <a:xfrm>
                    <a:off x="0" y="0"/>
                    <a:ext cx="7772400" cy="40957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355755"/>
    <w:multiLevelType w:val="hybridMultilevel"/>
    <w:tmpl w:val="302E9A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1A783582"/>
    <w:multiLevelType w:val="hybridMultilevel"/>
    <w:tmpl w:val="BC8E2E7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30032DA8"/>
    <w:multiLevelType w:val="hybridMultilevel"/>
    <w:tmpl w:val="2FC0629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3B241DFF"/>
    <w:multiLevelType w:val="multilevel"/>
    <w:tmpl w:val="C8E69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5EB15EC"/>
    <w:multiLevelType w:val="hybridMultilevel"/>
    <w:tmpl w:val="48F41BF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51C41774"/>
    <w:multiLevelType w:val="hybridMultilevel"/>
    <w:tmpl w:val="C2502BF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59E9178B"/>
    <w:multiLevelType w:val="multilevel"/>
    <w:tmpl w:val="B088C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D24681A"/>
    <w:multiLevelType w:val="multilevel"/>
    <w:tmpl w:val="19FC5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FA4519A"/>
    <w:multiLevelType w:val="hybridMultilevel"/>
    <w:tmpl w:val="6FD4B488"/>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636E34D3"/>
    <w:multiLevelType w:val="hybridMultilevel"/>
    <w:tmpl w:val="7C9AC1F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66E23D23"/>
    <w:multiLevelType w:val="multilevel"/>
    <w:tmpl w:val="6EFA0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9C50674"/>
    <w:multiLevelType w:val="multilevel"/>
    <w:tmpl w:val="7040B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AA87AEA"/>
    <w:multiLevelType w:val="hybridMultilevel"/>
    <w:tmpl w:val="724659F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6B32195B"/>
    <w:multiLevelType w:val="hybridMultilevel"/>
    <w:tmpl w:val="FC44890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7B897A26"/>
    <w:multiLevelType w:val="hybridMultilevel"/>
    <w:tmpl w:val="B7247C4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nsid w:val="7D881E52"/>
    <w:multiLevelType w:val="hybridMultilevel"/>
    <w:tmpl w:val="CF8230E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3"/>
  </w:num>
  <w:num w:numId="14">
    <w:abstractNumId w:val="11"/>
  </w:num>
  <w:num w:numId="15">
    <w:abstractNumId w:val="10"/>
  </w:num>
  <w:num w:numId="16">
    <w:abstractNumId w:val="7"/>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11265"/>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28AC"/>
    <w:rsid w:val="00006A43"/>
    <w:rsid w:val="00006C07"/>
    <w:rsid w:val="0002537D"/>
    <w:rsid w:val="0002722B"/>
    <w:rsid w:val="000335A8"/>
    <w:rsid w:val="00042466"/>
    <w:rsid w:val="0004582B"/>
    <w:rsid w:val="00057EB6"/>
    <w:rsid w:val="000744F6"/>
    <w:rsid w:val="0007798B"/>
    <w:rsid w:val="000854A2"/>
    <w:rsid w:val="00085BF8"/>
    <w:rsid w:val="0008695B"/>
    <w:rsid w:val="000925EF"/>
    <w:rsid w:val="00092CAE"/>
    <w:rsid w:val="000A01C8"/>
    <w:rsid w:val="000A29D6"/>
    <w:rsid w:val="000A465D"/>
    <w:rsid w:val="000A6D72"/>
    <w:rsid w:val="000A73C3"/>
    <w:rsid w:val="000C4272"/>
    <w:rsid w:val="000C61DE"/>
    <w:rsid w:val="000D1034"/>
    <w:rsid w:val="000D3D80"/>
    <w:rsid w:val="000F39B8"/>
    <w:rsid w:val="000F7E94"/>
    <w:rsid w:val="000F7F9E"/>
    <w:rsid w:val="001169F9"/>
    <w:rsid w:val="00116B97"/>
    <w:rsid w:val="00126D7D"/>
    <w:rsid w:val="001323BE"/>
    <w:rsid w:val="0013443F"/>
    <w:rsid w:val="001347F6"/>
    <w:rsid w:val="00137B04"/>
    <w:rsid w:val="001462CD"/>
    <w:rsid w:val="00146469"/>
    <w:rsid w:val="00151B21"/>
    <w:rsid w:val="001570E6"/>
    <w:rsid w:val="00157219"/>
    <w:rsid w:val="001700FB"/>
    <w:rsid w:val="001726E6"/>
    <w:rsid w:val="0018207F"/>
    <w:rsid w:val="0018359B"/>
    <w:rsid w:val="001A1494"/>
    <w:rsid w:val="001A5B22"/>
    <w:rsid w:val="001B5AD4"/>
    <w:rsid w:val="001C41D6"/>
    <w:rsid w:val="001C7863"/>
    <w:rsid w:val="001E04B8"/>
    <w:rsid w:val="001F55AE"/>
    <w:rsid w:val="00205C46"/>
    <w:rsid w:val="00207652"/>
    <w:rsid w:val="00207DD3"/>
    <w:rsid w:val="002114CE"/>
    <w:rsid w:val="00212566"/>
    <w:rsid w:val="00227BE4"/>
    <w:rsid w:val="002368C3"/>
    <w:rsid w:val="00241416"/>
    <w:rsid w:val="00246AC6"/>
    <w:rsid w:val="00250613"/>
    <w:rsid w:val="00274334"/>
    <w:rsid w:val="002747A1"/>
    <w:rsid w:val="00290E62"/>
    <w:rsid w:val="002B031A"/>
    <w:rsid w:val="002C6C72"/>
    <w:rsid w:val="002C6D99"/>
    <w:rsid w:val="002D25D7"/>
    <w:rsid w:val="002D2FEC"/>
    <w:rsid w:val="002E13A8"/>
    <w:rsid w:val="0030035A"/>
    <w:rsid w:val="003016FB"/>
    <w:rsid w:val="003064E8"/>
    <w:rsid w:val="00311012"/>
    <w:rsid w:val="00315B0C"/>
    <w:rsid w:val="003319A0"/>
    <w:rsid w:val="00333987"/>
    <w:rsid w:val="00351D2B"/>
    <w:rsid w:val="00363320"/>
    <w:rsid w:val="003735AD"/>
    <w:rsid w:val="003936AE"/>
    <w:rsid w:val="003D0A96"/>
    <w:rsid w:val="003F344F"/>
    <w:rsid w:val="00411A55"/>
    <w:rsid w:val="00415953"/>
    <w:rsid w:val="004177A2"/>
    <w:rsid w:val="00433F09"/>
    <w:rsid w:val="004374CA"/>
    <w:rsid w:val="004416E6"/>
    <w:rsid w:val="004445AA"/>
    <w:rsid w:val="004476B7"/>
    <w:rsid w:val="00460C75"/>
    <w:rsid w:val="00472FC7"/>
    <w:rsid w:val="0047799D"/>
    <w:rsid w:val="004821AE"/>
    <w:rsid w:val="0049168C"/>
    <w:rsid w:val="00491706"/>
    <w:rsid w:val="004A6F6F"/>
    <w:rsid w:val="004B23C5"/>
    <w:rsid w:val="004B3AAE"/>
    <w:rsid w:val="004C547B"/>
    <w:rsid w:val="004C68DE"/>
    <w:rsid w:val="004C6D7E"/>
    <w:rsid w:val="004D45C1"/>
    <w:rsid w:val="004D54FD"/>
    <w:rsid w:val="004D7C56"/>
    <w:rsid w:val="004E41EF"/>
    <w:rsid w:val="004E41FA"/>
    <w:rsid w:val="004F27D5"/>
    <w:rsid w:val="00512734"/>
    <w:rsid w:val="00512BEC"/>
    <w:rsid w:val="00515097"/>
    <w:rsid w:val="00515BF9"/>
    <w:rsid w:val="00531549"/>
    <w:rsid w:val="00536982"/>
    <w:rsid w:val="005543D8"/>
    <w:rsid w:val="005674BE"/>
    <w:rsid w:val="00570DAE"/>
    <w:rsid w:val="00585901"/>
    <w:rsid w:val="00595360"/>
    <w:rsid w:val="00595DF3"/>
    <w:rsid w:val="00596BE3"/>
    <w:rsid w:val="005A43C1"/>
    <w:rsid w:val="005A676B"/>
    <w:rsid w:val="005B3582"/>
    <w:rsid w:val="005C4AF6"/>
    <w:rsid w:val="005C5417"/>
    <w:rsid w:val="005D1E88"/>
    <w:rsid w:val="005D51F0"/>
    <w:rsid w:val="005F116D"/>
    <w:rsid w:val="00605D3E"/>
    <w:rsid w:val="006066D1"/>
    <w:rsid w:val="0061415F"/>
    <w:rsid w:val="00616A9F"/>
    <w:rsid w:val="006349DB"/>
    <w:rsid w:val="00637B3D"/>
    <w:rsid w:val="00642A07"/>
    <w:rsid w:val="006555F0"/>
    <w:rsid w:val="006570FF"/>
    <w:rsid w:val="00660248"/>
    <w:rsid w:val="006735F8"/>
    <w:rsid w:val="006829CE"/>
    <w:rsid w:val="00687F84"/>
    <w:rsid w:val="006923B3"/>
    <w:rsid w:val="006A0109"/>
    <w:rsid w:val="006A176C"/>
    <w:rsid w:val="006A3B32"/>
    <w:rsid w:val="006C38B5"/>
    <w:rsid w:val="006D0DB0"/>
    <w:rsid w:val="006D1A5D"/>
    <w:rsid w:val="006E031E"/>
    <w:rsid w:val="006E2524"/>
    <w:rsid w:val="006F4B0B"/>
    <w:rsid w:val="007029EF"/>
    <w:rsid w:val="0071306E"/>
    <w:rsid w:val="00725AC2"/>
    <w:rsid w:val="00726C4B"/>
    <w:rsid w:val="0073037C"/>
    <w:rsid w:val="0073347C"/>
    <w:rsid w:val="00740838"/>
    <w:rsid w:val="007419E1"/>
    <w:rsid w:val="00750006"/>
    <w:rsid w:val="00756B16"/>
    <w:rsid w:val="00762B4B"/>
    <w:rsid w:val="0077277A"/>
    <w:rsid w:val="007812EE"/>
    <w:rsid w:val="00794FB6"/>
    <w:rsid w:val="007A0387"/>
    <w:rsid w:val="007A7B77"/>
    <w:rsid w:val="007B3E8A"/>
    <w:rsid w:val="007B5A3C"/>
    <w:rsid w:val="007C3CBA"/>
    <w:rsid w:val="007C3FA7"/>
    <w:rsid w:val="007C60FB"/>
    <w:rsid w:val="007D08C0"/>
    <w:rsid w:val="007D3BFD"/>
    <w:rsid w:val="007D3CC6"/>
    <w:rsid w:val="007E167A"/>
    <w:rsid w:val="007E2632"/>
    <w:rsid w:val="007E418A"/>
    <w:rsid w:val="007F6C7E"/>
    <w:rsid w:val="00801F7C"/>
    <w:rsid w:val="00805D5C"/>
    <w:rsid w:val="00811490"/>
    <w:rsid w:val="008139BA"/>
    <w:rsid w:val="00826AAD"/>
    <w:rsid w:val="0083240B"/>
    <w:rsid w:val="00834628"/>
    <w:rsid w:val="00844E9A"/>
    <w:rsid w:val="00845005"/>
    <w:rsid w:val="00851944"/>
    <w:rsid w:val="00861794"/>
    <w:rsid w:val="0087332C"/>
    <w:rsid w:val="00873848"/>
    <w:rsid w:val="008754AD"/>
    <w:rsid w:val="00882A30"/>
    <w:rsid w:val="00893421"/>
    <w:rsid w:val="0089587C"/>
    <w:rsid w:val="008A4FE8"/>
    <w:rsid w:val="008A55CB"/>
    <w:rsid w:val="008B6173"/>
    <w:rsid w:val="008C483C"/>
    <w:rsid w:val="008C5372"/>
    <w:rsid w:val="008D28AC"/>
    <w:rsid w:val="008D6141"/>
    <w:rsid w:val="008D721A"/>
    <w:rsid w:val="008F6980"/>
    <w:rsid w:val="00901E62"/>
    <w:rsid w:val="00905044"/>
    <w:rsid w:val="00933F1A"/>
    <w:rsid w:val="0094542E"/>
    <w:rsid w:val="00951F24"/>
    <w:rsid w:val="0095555D"/>
    <w:rsid w:val="00955905"/>
    <w:rsid w:val="009610AC"/>
    <w:rsid w:val="00965CB2"/>
    <w:rsid w:val="00965DFC"/>
    <w:rsid w:val="0096746C"/>
    <w:rsid w:val="0097155E"/>
    <w:rsid w:val="00980032"/>
    <w:rsid w:val="0098189A"/>
    <w:rsid w:val="009923DB"/>
    <w:rsid w:val="00995309"/>
    <w:rsid w:val="009A0A21"/>
    <w:rsid w:val="009A753E"/>
    <w:rsid w:val="009B074B"/>
    <w:rsid w:val="009B26ED"/>
    <w:rsid w:val="009D1209"/>
    <w:rsid w:val="009F2F84"/>
    <w:rsid w:val="00A034FF"/>
    <w:rsid w:val="00A1360E"/>
    <w:rsid w:val="00A16FA0"/>
    <w:rsid w:val="00A25B7A"/>
    <w:rsid w:val="00A3135E"/>
    <w:rsid w:val="00A32499"/>
    <w:rsid w:val="00A37524"/>
    <w:rsid w:val="00A45A4E"/>
    <w:rsid w:val="00A611A1"/>
    <w:rsid w:val="00AA393F"/>
    <w:rsid w:val="00AA671F"/>
    <w:rsid w:val="00AB3003"/>
    <w:rsid w:val="00AB46B1"/>
    <w:rsid w:val="00AB5222"/>
    <w:rsid w:val="00AB5FE9"/>
    <w:rsid w:val="00AC40E0"/>
    <w:rsid w:val="00AC5FD9"/>
    <w:rsid w:val="00AD665F"/>
    <w:rsid w:val="00AE0B02"/>
    <w:rsid w:val="00AE0B98"/>
    <w:rsid w:val="00AE5F84"/>
    <w:rsid w:val="00AF186C"/>
    <w:rsid w:val="00B16775"/>
    <w:rsid w:val="00B22301"/>
    <w:rsid w:val="00B23083"/>
    <w:rsid w:val="00B23E87"/>
    <w:rsid w:val="00B272F7"/>
    <w:rsid w:val="00B30A8B"/>
    <w:rsid w:val="00B41AFB"/>
    <w:rsid w:val="00B42AD8"/>
    <w:rsid w:val="00B443EF"/>
    <w:rsid w:val="00B449D0"/>
    <w:rsid w:val="00B53AB1"/>
    <w:rsid w:val="00B92E10"/>
    <w:rsid w:val="00BA099E"/>
    <w:rsid w:val="00BB03B2"/>
    <w:rsid w:val="00BB6664"/>
    <w:rsid w:val="00BC2FF6"/>
    <w:rsid w:val="00BC32CF"/>
    <w:rsid w:val="00BC45C9"/>
    <w:rsid w:val="00BC62F3"/>
    <w:rsid w:val="00BD1519"/>
    <w:rsid w:val="00BD5257"/>
    <w:rsid w:val="00BD5455"/>
    <w:rsid w:val="00BF388F"/>
    <w:rsid w:val="00C17955"/>
    <w:rsid w:val="00C255D8"/>
    <w:rsid w:val="00C358E1"/>
    <w:rsid w:val="00C4472D"/>
    <w:rsid w:val="00C54DA7"/>
    <w:rsid w:val="00C5598A"/>
    <w:rsid w:val="00C64950"/>
    <w:rsid w:val="00C82F52"/>
    <w:rsid w:val="00C930A2"/>
    <w:rsid w:val="00C93E17"/>
    <w:rsid w:val="00CA2325"/>
    <w:rsid w:val="00CA2C95"/>
    <w:rsid w:val="00CA65FC"/>
    <w:rsid w:val="00CC24A6"/>
    <w:rsid w:val="00CC317E"/>
    <w:rsid w:val="00CD7A98"/>
    <w:rsid w:val="00CD7EFD"/>
    <w:rsid w:val="00CE637E"/>
    <w:rsid w:val="00CF25DB"/>
    <w:rsid w:val="00D01ABF"/>
    <w:rsid w:val="00D0295F"/>
    <w:rsid w:val="00D21B15"/>
    <w:rsid w:val="00D268F1"/>
    <w:rsid w:val="00D366E8"/>
    <w:rsid w:val="00D4219D"/>
    <w:rsid w:val="00D451C9"/>
    <w:rsid w:val="00D6733B"/>
    <w:rsid w:val="00D750A6"/>
    <w:rsid w:val="00D841B1"/>
    <w:rsid w:val="00DA3F8C"/>
    <w:rsid w:val="00DB2541"/>
    <w:rsid w:val="00DD1BE8"/>
    <w:rsid w:val="00DE765C"/>
    <w:rsid w:val="00DF1FF1"/>
    <w:rsid w:val="00DF44DF"/>
    <w:rsid w:val="00DF5999"/>
    <w:rsid w:val="00E13D89"/>
    <w:rsid w:val="00E1576B"/>
    <w:rsid w:val="00E16A1B"/>
    <w:rsid w:val="00E16DA3"/>
    <w:rsid w:val="00E17AAF"/>
    <w:rsid w:val="00E218DF"/>
    <w:rsid w:val="00E42431"/>
    <w:rsid w:val="00E62CD3"/>
    <w:rsid w:val="00E659BF"/>
    <w:rsid w:val="00E66C49"/>
    <w:rsid w:val="00E7522D"/>
    <w:rsid w:val="00E75347"/>
    <w:rsid w:val="00E90AE7"/>
    <w:rsid w:val="00E97595"/>
    <w:rsid w:val="00EA11DF"/>
    <w:rsid w:val="00EA6482"/>
    <w:rsid w:val="00EA68ED"/>
    <w:rsid w:val="00EB6AF7"/>
    <w:rsid w:val="00EC798B"/>
    <w:rsid w:val="00ED4D72"/>
    <w:rsid w:val="00EE7EAE"/>
    <w:rsid w:val="00EF5FDE"/>
    <w:rsid w:val="00EF6B54"/>
    <w:rsid w:val="00F06A44"/>
    <w:rsid w:val="00F104CD"/>
    <w:rsid w:val="00F14986"/>
    <w:rsid w:val="00F241C2"/>
    <w:rsid w:val="00F27A45"/>
    <w:rsid w:val="00F43FC3"/>
    <w:rsid w:val="00F56A8F"/>
    <w:rsid w:val="00F626CD"/>
    <w:rsid w:val="00F62BE0"/>
    <w:rsid w:val="00F75DD4"/>
    <w:rsid w:val="00F8038B"/>
    <w:rsid w:val="00F83B61"/>
    <w:rsid w:val="00F86AC2"/>
    <w:rsid w:val="00F91A5B"/>
    <w:rsid w:val="00F97D04"/>
    <w:rsid w:val="00FB251E"/>
    <w:rsid w:val="00FB2B22"/>
    <w:rsid w:val="00FB5A0A"/>
    <w:rsid w:val="00FD6142"/>
    <w:rsid w:val="00FE2486"/>
    <w:rsid w:val="00FE4A84"/>
    <w:rsid w:val="00FF0B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1A5D"/>
    <w:rPr>
      <w:rFonts w:ascii="Gill Sans MT" w:hAnsi="Gill Sans MT"/>
    </w:rPr>
  </w:style>
  <w:style w:type="paragraph" w:styleId="Heading1">
    <w:name w:val="heading 1"/>
    <w:basedOn w:val="Normal"/>
    <w:next w:val="Normal"/>
    <w:link w:val="Heading1Char"/>
    <w:uiPriority w:val="9"/>
    <w:qFormat/>
    <w:rsid w:val="00826AAD"/>
    <w:pPr>
      <w:spacing w:before="240" w:after="0"/>
      <w:outlineLvl w:val="0"/>
    </w:pPr>
    <w:rPr>
      <w:b/>
      <w:color w:val="00457C"/>
      <w:sz w:val="28"/>
      <w:szCs w:val="28"/>
    </w:rPr>
  </w:style>
  <w:style w:type="paragraph" w:styleId="Heading2">
    <w:name w:val="heading 2"/>
    <w:basedOn w:val="Normal"/>
    <w:next w:val="Normal"/>
    <w:link w:val="Heading2Char"/>
    <w:uiPriority w:val="9"/>
    <w:unhideWhenUsed/>
    <w:qFormat/>
    <w:rsid w:val="00826AAD"/>
    <w:pPr>
      <w:spacing w:before="240" w:after="0"/>
      <w:outlineLvl w:val="1"/>
    </w:pPr>
    <w:rPr>
      <w:b/>
      <w:sz w:val="24"/>
      <w:szCs w:val="24"/>
    </w:rPr>
  </w:style>
  <w:style w:type="paragraph" w:styleId="Heading3">
    <w:name w:val="heading 3"/>
    <w:basedOn w:val="Normal"/>
    <w:next w:val="Normal"/>
    <w:link w:val="Heading3Char"/>
    <w:uiPriority w:val="9"/>
    <w:unhideWhenUsed/>
    <w:qFormat/>
    <w:rsid w:val="00DF1FF1"/>
    <w:pPr>
      <w:keepNext/>
      <w:spacing w:before="240" w:line="240" w:lineRule="auto"/>
      <w:jc w:val="both"/>
      <w:outlineLvl w:val="2"/>
    </w:pPr>
    <w:rPr>
      <w:rFonts w:eastAsia="Times New Roman" w:cs="Times New Roman"/>
      <w:b/>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28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28AC"/>
  </w:style>
  <w:style w:type="paragraph" w:styleId="Footer">
    <w:name w:val="footer"/>
    <w:basedOn w:val="Normal"/>
    <w:link w:val="FooterChar"/>
    <w:uiPriority w:val="99"/>
    <w:unhideWhenUsed/>
    <w:rsid w:val="008D28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28AC"/>
  </w:style>
  <w:style w:type="table" w:styleId="TableGrid">
    <w:name w:val="Table Grid"/>
    <w:basedOn w:val="TableNormal"/>
    <w:uiPriority w:val="59"/>
    <w:rsid w:val="003003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C5F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5FD9"/>
    <w:rPr>
      <w:rFonts w:ascii="Tahoma" w:hAnsi="Tahoma" w:cs="Tahoma"/>
      <w:sz w:val="16"/>
      <w:szCs w:val="16"/>
    </w:rPr>
  </w:style>
  <w:style w:type="paragraph" w:styleId="FootnoteText">
    <w:name w:val="footnote text"/>
    <w:basedOn w:val="Normal"/>
    <w:link w:val="FootnoteTextChar"/>
    <w:uiPriority w:val="99"/>
    <w:unhideWhenUsed/>
    <w:rsid w:val="002114CE"/>
    <w:pPr>
      <w:spacing w:after="0" w:line="240" w:lineRule="auto"/>
    </w:pPr>
    <w:rPr>
      <w:sz w:val="20"/>
      <w:szCs w:val="20"/>
    </w:rPr>
  </w:style>
  <w:style w:type="character" w:customStyle="1" w:styleId="FootnoteTextChar">
    <w:name w:val="Footnote Text Char"/>
    <w:basedOn w:val="DefaultParagraphFont"/>
    <w:link w:val="FootnoteText"/>
    <w:uiPriority w:val="99"/>
    <w:rsid w:val="002114CE"/>
    <w:rPr>
      <w:sz w:val="20"/>
      <w:szCs w:val="20"/>
    </w:rPr>
  </w:style>
  <w:style w:type="character" w:styleId="FootnoteReference">
    <w:name w:val="footnote reference"/>
    <w:basedOn w:val="DefaultParagraphFont"/>
    <w:uiPriority w:val="99"/>
    <w:semiHidden/>
    <w:unhideWhenUsed/>
    <w:rsid w:val="002114CE"/>
    <w:rPr>
      <w:vertAlign w:val="superscript"/>
    </w:rPr>
  </w:style>
  <w:style w:type="character" w:styleId="Hyperlink">
    <w:name w:val="Hyperlink"/>
    <w:basedOn w:val="DefaultParagraphFont"/>
    <w:uiPriority w:val="99"/>
    <w:unhideWhenUsed/>
    <w:rsid w:val="002114CE"/>
    <w:rPr>
      <w:color w:val="0000FF"/>
      <w:u w:val="single"/>
    </w:rPr>
  </w:style>
  <w:style w:type="character" w:customStyle="1" w:styleId="Heading1Char">
    <w:name w:val="Heading 1 Char"/>
    <w:basedOn w:val="DefaultParagraphFont"/>
    <w:link w:val="Heading1"/>
    <w:uiPriority w:val="9"/>
    <w:rsid w:val="00826AAD"/>
    <w:rPr>
      <w:rFonts w:ascii="Gill Sans MT" w:hAnsi="Gill Sans MT"/>
      <w:b/>
      <w:color w:val="00457C"/>
      <w:sz w:val="28"/>
      <w:szCs w:val="28"/>
    </w:rPr>
  </w:style>
  <w:style w:type="paragraph" w:styleId="TOCHeading">
    <w:name w:val="TOC Heading"/>
    <w:basedOn w:val="Heading1"/>
    <w:next w:val="Normal"/>
    <w:uiPriority w:val="39"/>
    <w:unhideWhenUsed/>
    <w:qFormat/>
    <w:rsid w:val="00826AAD"/>
    <w:pPr>
      <w:outlineLvl w:val="9"/>
    </w:pPr>
    <w:rPr>
      <w:lang w:eastAsia="ja-JP"/>
    </w:rPr>
  </w:style>
  <w:style w:type="character" w:customStyle="1" w:styleId="Heading2Char">
    <w:name w:val="Heading 2 Char"/>
    <w:basedOn w:val="DefaultParagraphFont"/>
    <w:link w:val="Heading2"/>
    <w:uiPriority w:val="9"/>
    <w:rsid w:val="00826AAD"/>
    <w:rPr>
      <w:rFonts w:ascii="Gill Sans MT" w:hAnsi="Gill Sans MT"/>
      <w:b/>
      <w:sz w:val="24"/>
      <w:szCs w:val="24"/>
    </w:rPr>
  </w:style>
  <w:style w:type="paragraph" w:styleId="TOC1">
    <w:name w:val="toc 1"/>
    <w:basedOn w:val="Normal"/>
    <w:next w:val="Normal"/>
    <w:autoRedefine/>
    <w:uiPriority w:val="39"/>
    <w:unhideWhenUsed/>
    <w:qFormat/>
    <w:rsid w:val="00826AAD"/>
    <w:pPr>
      <w:spacing w:after="100"/>
    </w:pPr>
  </w:style>
  <w:style w:type="paragraph" w:styleId="TOC2">
    <w:name w:val="toc 2"/>
    <w:basedOn w:val="Normal"/>
    <w:next w:val="Normal"/>
    <w:autoRedefine/>
    <w:uiPriority w:val="39"/>
    <w:unhideWhenUsed/>
    <w:qFormat/>
    <w:rsid w:val="00826AAD"/>
    <w:pPr>
      <w:spacing w:after="100"/>
      <w:ind w:left="220"/>
    </w:pPr>
  </w:style>
  <w:style w:type="character" w:styleId="FollowedHyperlink">
    <w:name w:val="FollowedHyperlink"/>
    <w:basedOn w:val="DefaultParagraphFont"/>
    <w:uiPriority w:val="99"/>
    <w:semiHidden/>
    <w:unhideWhenUsed/>
    <w:rsid w:val="008D6141"/>
    <w:rPr>
      <w:color w:val="800080"/>
      <w:u w:val="single"/>
    </w:rPr>
  </w:style>
  <w:style w:type="paragraph" w:customStyle="1" w:styleId="xl66">
    <w:name w:val="xl66"/>
    <w:basedOn w:val="Normal"/>
    <w:rsid w:val="008D6141"/>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7">
    <w:name w:val="xl67"/>
    <w:basedOn w:val="Normal"/>
    <w:rsid w:val="008D6141"/>
    <w:pPr>
      <w:shd w:val="clear" w:color="000000" w:fill="FFC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al"/>
    <w:rsid w:val="008D6141"/>
    <w:pPr>
      <w:spacing w:before="100" w:beforeAutospacing="1" w:after="100" w:afterAutospacing="1" w:line="240" w:lineRule="auto"/>
    </w:pPr>
    <w:rPr>
      <w:rFonts w:ascii="Arial" w:eastAsia="Times New Roman" w:hAnsi="Arial" w:cs="Arial"/>
      <w:sz w:val="20"/>
      <w:szCs w:val="20"/>
    </w:rPr>
  </w:style>
  <w:style w:type="paragraph" w:customStyle="1" w:styleId="xl71">
    <w:name w:val="xl71"/>
    <w:basedOn w:val="Normal"/>
    <w:rsid w:val="008D6141"/>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pPr>
    <w:rPr>
      <w:rFonts w:ascii="Arial" w:eastAsia="Times New Roman" w:hAnsi="Arial" w:cs="Arial"/>
      <w:sz w:val="20"/>
      <w:szCs w:val="20"/>
    </w:rPr>
  </w:style>
  <w:style w:type="paragraph" w:customStyle="1" w:styleId="xl72">
    <w:name w:val="xl72"/>
    <w:basedOn w:val="Normal"/>
    <w:rsid w:val="008D6141"/>
    <w:pPr>
      <w:spacing w:before="100" w:beforeAutospacing="1" w:after="100" w:afterAutospacing="1" w:line="240" w:lineRule="auto"/>
    </w:pPr>
    <w:rPr>
      <w:rFonts w:ascii="Arial" w:eastAsia="Times New Roman" w:hAnsi="Arial" w:cs="Arial"/>
      <w:sz w:val="20"/>
      <w:szCs w:val="20"/>
    </w:rPr>
  </w:style>
  <w:style w:type="paragraph" w:customStyle="1" w:styleId="xl73">
    <w:name w:val="xl73"/>
    <w:basedOn w:val="Normal"/>
    <w:rsid w:val="008D6141"/>
    <w:pPr>
      <w:shd w:val="clear" w:color="000000" w:fill="C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8D6141"/>
    <w:pPr>
      <w:shd w:val="clear" w:color="000000" w:fill="92D050"/>
      <w:spacing w:before="100" w:beforeAutospacing="1" w:after="100" w:afterAutospacing="1" w:line="240" w:lineRule="auto"/>
    </w:pPr>
    <w:rPr>
      <w:rFonts w:ascii="Times New Roman" w:eastAsia="Times New Roman" w:hAnsi="Times New Roman" w:cs="Times New Roman"/>
      <w:sz w:val="24"/>
      <w:szCs w:val="24"/>
    </w:rPr>
  </w:style>
  <w:style w:type="table" w:styleId="LightList-Accent1">
    <w:name w:val="Light List Accent 1"/>
    <w:basedOn w:val="TableNormal"/>
    <w:uiPriority w:val="61"/>
    <w:rsid w:val="008D614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Caption">
    <w:name w:val="caption"/>
    <w:basedOn w:val="Normal"/>
    <w:next w:val="Normal"/>
    <w:uiPriority w:val="35"/>
    <w:unhideWhenUsed/>
    <w:qFormat/>
    <w:rsid w:val="0004582B"/>
    <w:pPr>
      <w:spacing w:line="240" w:lineRule="auto"/>
    </w:pPr>
    <w:rPr>
      <w:b/>
      <w:bCs/>
      <w:sz w:val="18"/>
      <w:szCs w:val="18"/>
    </w:rPr>
  </w:style>
  <w:style w:type="paragraph" w:styleId="ListParagraph">
    <w:name w:val="List Paragraph"/>
    <w:basedOn w:val="Normal"/>
    <w:uiPriority w:val="34"/>
    <w:qFormat/>
    <w:rsid w:val="00BC2FF6"/>
    <w:pPr>
      <w:ind w:left="720"/>
      <w:contextualSpacing/>
    </w:pPr>
  </w:style>
  <w:style w:type="character" w:customStyle="1" w:styleId="Heading3Char">
    <w:name w:val="Heading 3 Char"/>
    <w:basedOn w:val="DefaultParagraphFont"/>
    <w:link w:val="Heading3"/>
    <w:uiPriority w:val="9"/>
    <w:rsid w:val="00DF1FF1"/>
    <w:rPr>
      <w:rFonts w:ascii="Gill Sans MT" w:eastAsia="Times New Roman" w:hAnsi="Gill Sans MT" w:cs="Times New Roman"/>
      <w:b/>
      <w:i/>
      <w:sz w:val="24"/>
    </w:rPr>
  </w:style>
  <w:style w:type="paragraph" w:styleId="TOC3">
    <w:name w:val="toc 3"/>
    <w:basedOn w:val="Normal"/>
    <w:next w:val="Normal"/>
    <w:autoRedefine/>
    <w:uiPriority w:val="39"/>
    <w:unhideWhenUsed/>
    <w:qFormat/>
    <w:rsid w:val="0089587C"/>
    <w:pPr>
      <w:spacing w:after="100"/>
      <w:ind w:left="440"/>
    </w:pPr>
  </w:style>
  <w:style w:type="paragraph" w:customStyle="1" w:styleId="TableText">
    <w:name w:val="Table Text"/>
    <w:basedOn w:val="Normal"/>
    <w:link w:val="TableTextChar"/>
    <w:qFormat/>
    <w:rsid w:val="004F27D5"/>
    <w:pPr>
      <w:spacing w:after="0"/>
    </w:pPr>
    <w:rPr>
      <w:rFonts w:eastAsia="Times New Roman"/>
      <w:sz w:val="20"/>
    </w:rPr>
  </w:style>
  <w:style w:type="character" w:customStyle="1" w:styleId="TableTextChar">
    <w:name w:val="Table Text Char"/>
    <w:basedOn w:val="DefaultParagraphFont"/>
    <w:link w:val="TableText"/>
    <w:rsid w:val="004F27D5"/>
    <w:rPr>
      <w:rFonts w:ascii="Gill Sans MT" w:eastAsia="Times New Roman" w:hAnsi="Gill Sans MT"/>
      <w:sz w:val="20"/>
    </w:rPr>
  </w:style>
  <w:style w:type="paragraph" w:styleId="Title">
    <w:name w:val="Title"/>
    <w:basedOn w:val="Normal"/>
    <w:next w:val="Normal"/>
    <w:link w:val="TitleChar"/>
    <w:uiPriority w:val="10"/>
    <w:qFormat/>
    <w:rsid w:val="006D0DB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D0DB0"/>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6D0DB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6D0DB0"/>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6D0DB0"/>
    <w:rPr>
      <w:b/>
      <w:bCs/>
    </w:rPr>
  </w:style>
  <w:style w:type="paragraph" w:styleId="TableofFigures">
    <w:name w:val="table of figures"/>
    <w:basedOn w:val="Normal"/>
    <w:next w:val="Normal"/>
    <w:uiPriority w:val="99"/>
    <w:unhideWhenUsed/>
    <w:rsid w:val="00AF186C"/>
    <w:pPr>
      <w:spacing w:after="0"/>
    </w:pPr>
  </w:style>
  <w:style w:type="character" w:styleId="CommentReference">
    <w:name w:val="annotation reference"/>
    <w:basedOn w:val="DefaultParagraphFont"/>
    <w:uiPriority w:val="99"/>
    <w:semiHidden/>
    <w:unhideWhenUsed/>
    <w:rsid w:val="006E031E"/>
    <w:rPr>
      <w:sz w:val="16"/>
      <w:szCs w:val="16"/>
    </w:rPr>
  </w:style>
  <w:style w:type="paragraph" w:styleId="CommentText">
    <w:name w:val="annotation text"/>
    <w:basedOn w:val="Normal"/>
    <w:link w:val="CommentTextChar"/>
    <w:uiPriority w:val="99"/>
    <w:semiHidden/>
    <w:unhideWhenUsed/>
    <w:rsid w:val="006E031E"/>
    <w:pPr>
      <w:spacing w:line="240" w:lineRule="auto"/>
    </w:pPr>
    <w:rPr>
      <w:sz w:val="20"/>
      <w:szCs w:val="20"/>
    </w:rPr>
  </w:style>
  <w:style w:type="character" w:customStyle="1" w:styleId="CommentTextChar">
    <w:name w:val="Comment Text Char"/>
    <w:basedOn w:val="DefaultParagraphFont"/>
    <w:link w:val="CommentText"/>
    <w:uiPriority w:val="99"/>
    <w:semiHidden/>
    <w:rsid w:val="006E031E"/>
    <w:rPr>
      <w:rFonts w:ascii="Gill Sans MT" w:hAnsi="Gill Sans MT"/>
      <w:sz w:val="20"/>
      <w:szCs w:val="20"/>
    </w:rPr>
  </w:style>
  <w:style w:type="paragraph" w:styleId="CommentSubject">
    <w:name w:val="annotation subject"/>
    <w:basedOn w:val="CommentText"/>
    <w:next w:val="CommentText"/>
    <w:link w:val="CommentSubjectChar"/>
    <w:uiPriority w:val="99"/>
    <w:semiHidden/>
    <w:unhideWhenUsed/>
    <w:rsid w:val="006E031E"/>
    <w:rPr>
      <w:b/>
      <w:bCs/>
    </w:rPr>
  </w:style>
  <w:style w:type="character" w:customStyle="1" w:styleId="CommentSubjectChar">
    <w:name w:val="Comment Subject Char"/>
    <w:basedOn w:val="CommentTextChar"/>
    <w:link w:val="CommentSubject"/>
    <w:uiPriority w:val="99"/>
    <w:semiHidden/>
    <w:rsid w:val="006E031E"/>
    <w:rPr>
      <w:rFonts w:ascii="Gill Sans MT" w:hAnsi="Gill Sans MT"/>
      <w:b/>
      <w:bCs/>
      <w:sz w:val="20"/>
      <w:szCs w:val="20"/>
    </w:rPr>
  </w:style>
  <w:style w:type="paragraph" w:customStyle="1" w:styleId="margintop15">
    <w:name w:val="margintop15"/>
    <w:basedOn w:val="Normal"/>
    <w:rsid w:val="00E16A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itations">
    <w:name w:val="citations"/>
    <w:basedOn w:val="DefaultParagraphFont"/>
    <w:rsid w:val="00E16A1B"/>
  </w:style>
  <w:style w:type="character" w:customStyle="1" w:styleId="apple-converted-space">
    <w:name w:val="apple-converted-space"/>
    <w:basedOn w:val="DefaultParagraphFont"/>
    <w:rsid w:val="00E16A1B"/>
  </w:style>
  <w:style w:type="paragraph" w:styleId="Revision">
    <w:name w:val="Revision"/>
    <w:hidden/>
    <w:uiPriority w:val="99"/>
    <w:semiHidden/>
    <w:rsid w:val="00BC32CF"/>
    <w:pPr>
      <w:spacing w:after="0" w:line="240" w:lineRule="auto"/>
    </w:pPr>
    <w:rPr>
      <w:rFonts w:ascii="Gill Sans MT" w:hAnsi="Gill Sans M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1A5D"/>
    <w:rPr>
      <w:rFonts w:ascii="Gill Sans MT" w:hAnsi="Gill Sans MT"/>
    </w:rPr>
  </w:style>
  <w:style w:type="paragraph" w:styleId="Heading1">
    <w:name w:val="heading 1"/>
    <w:basedOn w:val="Normal"/>
    <w:next w:val="Normal"/>
    <w:link w:val="Heading1Char"/>
    <w:uiPriority w:val="9"/>
    <w:qFormat/>
    <w:rsid w:val="00826AAD"/>
    <w:pPr>
      <w:spacing w:before="240" w:after="0"/>
      <w:outlineLvl w:val="0"/>
    </w:pPr>
    <w:rPr>
      <w:b/>
      <w:color w:val="00457C"/>
      <w:sz w:val="28"/>
      <w:szCs w:val="28"/>
    </w:rPr>
  </w:style>
  <w:style w:type="paragraph" w:styleId="Heading2">
    <w:name w:val="heading 2"/>
    <w:basedOn w:val="Normal"/>
    <w:next w:val="Normal"/>
    <w:link w:val="Heading2Char"/>
    <w:uiPriority w:val="9"/>
    <w:unhideWhenUsed/>
    <w:qFormat/>
    <w:rsid w:val="00826AAD"/>
    <w:pPr>
      <w:spacing w:before="240" w:after="0"/>
      <w:outlineLvl w:val="1"/>
    </w:pPr>
    <w:rPr>
      <w:b/>
      <w:sz w:val="24"/>
      <w:szCs w:val="24"/>
    </w:rPr>
  </w:style>
  <w:style w:type="paragraph" w:styleId="Heading3">
    <w:name w:val="heading 3"/>
    <w:basedOn w:val="Normal"/>
    <w:next w:val="Normal"/>
    <w:link w:val="Heading3Char"/>
    <w:uiPriority w:val="9"/>
    <w:unhideWhenUsed/>
    <w:qFormat/>
    <w:rsid w:val="00DF1FF1"/>
    <w:pPr>
      <w:keepNext/>
      <w:spacing w:before="240" w:line="240" w:lineRule="auto"/>
      <w:jc w:val="both"/>
      <w:outlineLvl w:val="2"/>
    </w:pPr>
    <w:rPr>
      <w:rFonts w:eastAsia="Times New Roman" w:cs="Times New Roman"/>
      <w:b/>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28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28AC"/>
  </w:style>
  <w:style w:type="paragraph" w:styleId="Footer">
    <w:name w:val="footer"/>
    <w:basedOn w:val="Normal"/>
    <w:link w:val="FooterChar"/>
    <w:uiPriority w:val="99"/>
    <w:unhideWhenUsed/>
    <w:rsid w:val="008D28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28AC"/>
  </w:style>
  <w:style w:type="table" w:styleId="TableGrid">
    <w:name w:val="Table Grid"/>
    <w:basedOn w:val="TableNormal"/>
    <w:uiPriority w:val="59"/>
    <w:rsid w:val="003003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C5F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5FD9"/>
    <w:rPr>
      <w:rFonts w:ascii="Tahoma" w:hAnsi="Tahoma" w:cs="Tahoma"/>
      <w:sz w:val="16"/>
      <w:szCs w:val="16"/>
    </w:rPr>
  </w:style>
  <w:style w:type="paragraph" w:styleId="FootnoteText">
    <w:name w:val="footnote text"/>
    <w:basedOn w:val="Normal"/>
    <w:link w:val="FootnoteTextChar"/>
    <w:uiPriority w:val="99"/>
    <w:unhideWhenUsed/>
    <w:rsid w:val="002114CE"/>
    <w:pPr>
      <w:spacing w:after="0" w:line="240" w:lineRule="auto"/>
    </w:pPr>
    <w:rPr>
      <w:sz w:val="20"/>
      <w:szCs w:val="20"/>
    </w:rPr>
  </w:style>
  <w:style w:type="character" w:customStyle="1" w:styleId="FootnoteTextChar">
    <w:name w:val="Footnote Text Char"/>
    <w:basedOn w:val="DefaultParagraphFont"/>
    <w:link w:val="FootnoteText"/>
    <w:uiPriority w:val="99"/>
    <w:rsid w:val="002114CE"/>
    <w:rPr>
      <w:sz w:val="20"/>
      <w:szCs w:val="20"/>
    </w:rPr>
  </w:style>
  <w:style w:type="character" w:styleId="FootnoteReference">
    <w:name w:val="footnote reference"/>
    <w:basedOn w:val="DefaultParagraphFont"/>
    <w:uiPriority w:val="99"/>
    <w:semiHidden/>
    <w:unhideWhenUsed/>
    <w:rsid w:val="002114CE"/>
    <w:rPr>
      <w:vertAlign w:val="superscript"/>
    </w:rPr>
  </w:style>
  <w:style w:type="character" w:styleId="Hyperlink">
    <w:name w:val="Hyperlink"/>
    <w:basedOn w:val="DefaultParagraphFont"/>
    <w:uiPriority w:val="99"/>
    <w:unhideWhenUsed/>
    <w:rsid w:val="002114CE"/>
    <w:rPr>
      <w:color w:val="0000FF"/>
      <w:u w:val="single"/>
    </w:rPr>
  </w:style>
  <w:style w:type="character" w:customStyle="1" w:styleId="Heading1Char">
    <w:name w:val="Heading 1 Char"/>
    <w:basedOn w:val="DefaultParagraphFont"/>
    <w:link w:val="Heading1"/>
    <w:uiPriority w:val="9"/>
    <w:rsid w:val="00826AAD"/>
    <w:rPr>
      <w:rFonts w:ascii="Gill Sans MT" w:hAnsi="Gill Sans MT"/>
      <w:b/>
      <w:color w:val="00457C"/>
      <w:sz w:val="28"/>
      <w:szCs w:val="28"/>
    </w:rPr>
  </w:style>
  <w:style w:type="paragraph" w:styleId="TOCHeading">
    <w:name w:val="TOC Heading"/>
    <w:basedOn w:val="Heading1"/>
    <w:next w:val="Normal"/>
    <w:uiPriority w:val="39"/>
    <w:unhideWhenUsed/>
    <w:qFormat/>
    <w:rsid w:val="00826AAD"/>
    <w:pPr>
      <w:outlineLvl w:val="9"/>
    </w:pPr>
    <w:rPr>
      <w:lang w:eastAsia="ja-JP"/>
    </w:rPr>
  </w:style>
  <w:style w:type="character" w:customStyle="1" w:styleId="Heading2Char">
    <w:name w:val="Heading 2 Char"/>
    <w:basedOn w:val="DefaultParagraphFont"/>
    <w:link w:val="Heading2"/>
    <w:uiPriority w:val="9"/>
    <w:rsid w:val="00826AAD"/>
    <w:rPr>
      <w:rFonts w:ascii="Gill Sans MT" w:hAnsi="Gill Sans MT"/>
      <w:b/>
      <w:sz w:val="24"/>
      <w:szCs w:val="24"/>
    </w:rPr>
  </w:style>
  <w:style w:type="paragraph" w:styleId="TOC1">
    <w:name w:val="toc 1"/>
    <w:basedOn w:val="Normal"/>
    <w:next w:val="Normal"/>
    <w:autoRedefine/>
    <w:uiPriority w:val="39"/>
    <w:unhideWhenUsed/>
    <w:qFormat/>
    <w:rsid w:val="00826AAD"/>
    <w:pPr>
      <w:spacing w:after="100"/>
    </w:pPr>
  </w:style>
  <w:style w:type="paragraph" w:styleId="TOC2">
    <w:name w:val="toc 2"/>
    <w:basedOn w:val="Normal"/>
    <w:next w:val="Normal"/>
    <w:autoRedefine/>
    <w:uiPriority w:val="39"/>
    <w:unhideWhenUsed/>
    <w:qFormat/>
    <w:rsid w:val="00826AAD"/>
    <w:pPr>
      <w:spacing w:after="100"/>
      <w:ind w:left="220"/>
    </w:pPr>
  </w:style>
  <w:style w:type="character" w:styleId="FollowedHyperlink">
    <w:name w:val="FollowedHyperlink"/>
    <w:basedOn w:val="DefaultParagraphFont"/>
    <w:uiPriority w:val="99"/>
    <w:semiHidden/>
    <w:unhideWhenUsed/>
    <w:rsid w:val="008D6141"/>
    <w:rPr>
      <w:color w:val="800080"/>
      <w:u w:val="single"/>
    </w:rPr>
  </w:style>
  <w:style w:type="paragraph" w:customStyle="1" w:styleId="xl66">
    <w:name w:val="xl66"/>
    <w:basedOn w:val="Normal"/>
    <w:rsid w:val="008D6141"/>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7">
    <w:name w:val="xl67"/>
    <w:basedOn w:val="Normal"/>
    <w:rsid w:val="008D6141"/>
    <w:pPr>
      <w:shd w:val="clear" w:color="000000" w:fill="FFC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al"/>
    <w:rsid w:val="008D6141"/>
    <w:pPr>
      <w:spacing w:before="100" w:beforeAutospacing="1" w:after="100" w:afterAutospacing="1" w:line="240" w:lineRule="auto"/>
    </w:pPr>
    <w:rPr>
      <w:rFonts w:ascii="Arial" w:eastAsia="Times New Roman" w:hAnsi="Arial" w:cs="Arial"/>
      <w:sz w:val="20"/>
      <w:szCs w:val="20"/>
    </w:rPr>
  </w:style>
  <w:style w:type="paragraph" w:customStyle="1" w:styleId="xl71">
    <w:name w:val="xl71"/>
    <w:basedOn w:val="Normal"/>
    <w:rsid w:val="008D6141"/>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pPr>
    <w:rPr>
      <w:rFonts w:ascii="Arial" w:eastAsia="Times New Roman" w:hAnsi="Arial" w:cs="Arial"/>
      <w:sz w:val="20"/>
      <w:szCs w:val="20"/>
    </w:rPr>
  </w:style>
  <w:style w:type="paragraph" w:customStyle="1" w:styleId="xl72">
    <w:name w:val="xl72"/>
    <w:basedOn w:val="Normal"/>
    <w:rsid w:val="008D6141"/>
    <w:pPr>
      <w:spacing w:before="100" w:beforeAutospacing="1" w:after="100" w:afterAutospacing="1" w:line="240" w:lineRule="auto"/>
    </w:pPr>
    <w:rPr>
      <w:rFonts w:ascii="Arial" w:eastAsia="Times New Roman" w:hAnsi="Arial" w:cs="Arial"/>
      <w:sz w:val="20"/>
      <w:szCs w:val="20"/>
    </w:rPr>
  </w:style>
  <w:style w:type="paragraph" w:customStyle="1" w:styleId="xl73">
    <w:name w:val="xl73"/>
    <w:basedOn w:val="Normal"/>
    <w:rsid w:val="008D6141"/>
    <w:pPr>
      <w:shd w:val="clear" w:color="000000" w:fill="C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8D6141"/>
    <w:pPr>
      <w:shd w:val="clear" w:color="000000" w:fill="92D050"/>
      <w:spacing w:before="100" w:beforeAutospacing="1" w:after="100" w:afterAutospacing="1" w:line="240" w:lineRule="auto"/>
    </w:pPr>
    <w:rPr>
      <w:rFonts w:ascii="Times New Roman" w:eastAsia="Times New Roman" w:hAnsi="Times New Roman" w:cs="Times New Roman"/>
      <w:sz w:val="24"/>
      <w:szCs w:val="24"/>
    </w:rPr>
  </w:style>
  <w:style w:type="table" w:styleId="LightList-Accent1">
    <w:name w:val="Light List Accent 1"/>
    <w:basedOn w:val="TableNormal"/>
    <w:uiPriority w:val="61"/>
    <w:rsid w:val="008D614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Caption">
    <w:name w:val="caption"/>
    <w:basedOn w:val="Normal"/>
    <w:next w:val="Normal"/>
    <w:uiPriority w:val="35"/>
    <w:unhideWhenUsed/>
    <w:qFormat/>
    <w:rsid w:val="0004582B"/>
    <w:pPr>
      <w:spacing w:line="240" w:lineRule="auto"/>
    </w:pPr>
    <w:rPr>
      <w:b/>
      <w:bCs/>
      <w:sz w:val="18"/>
      <w:szCs w:val="18"/>
    </w:rPr>
  </w:style>
  <w:style w:type="paragraph" w:styleId="ListParagraph">
    <w:name w:val="List Paragraph"/>
    <w:basedOn w:val="Normal"/>
    <w:uiPriority w:val="34"/>
    <w:qFormat/>
    <w:rsid w:val="00BC2FF6"/>
    <w:pPr>
      <w:ind w:left="720"/>
      <w:contextualSpacing/>
    </w:pPr>
  </w:style>
  <w:style w:type="character" w:customStyle="1" w:styleId="Heading3Char">
    <w:name w:val="Heading 3 Char"/>
    <w:basedOn w:val="DefaultParagraphFont"/>
    <w:link w:val="Heading3"/>
    <w:uiPriority w:val="9"/>
    <w:rsid w:val="00DF1FF1"/>
    <w:rPr>
      <w:rFonts w:ascii="Gill Sans MT" w:eastAsia="Times New Roman" w:hAnsi="Gill Sans MT" w:cs="Times New Roman"/>
      <w:b/>
      <w:i/>
      <w:sz w:val="24"/>
    </w:rPr>
  </w:style>
  <w:style w:type="paragraph" w:styleId="TOC3">
    <w:name w:val="toc 3"/>
    <w:basedOn w:val="Normal"/>
    <w:next w:val="Normal"/>
    <w:autoRedefine/>
    <w:uiPriority w:val="39"/>
    <w:unhideWhenUsed/>
    <w:qFormat/>
    <w:rsid w:val="0089587C"/>
    <w:pPr>
      <w:spacing w:after="100"/>
      <w:ind w:left="440"/>
    </w:pPr>
  </w:style>
  <w:style w:type="paragraph" w:customStyle="1" w:styleId="TableText">
    <w:name w:val="Table Text"/>
    <w:basedOn w:val="Normal"/>
    <w:link w:val="TableTextChar"/>
    <w:qFormat/>
    <w:rsid w:val="004F27D5"/>
    <w:pPr>
      <w:spacing w:after="0"/>
    </w:pPr>
    <w:rPr>
      <w:rFonts w:eastAsia="Times New Roman"/>
      <w:sz w:val="20"/>
    </w:rPr>
  </w:style>
  <w:style w:type="character" w:customStyle="1" w:styleId="TableTextChar">
    <w:name w:val="Table Text Char"/>
    <w:basedOn w:val="DefaultParagraphFont"/>
    <w:link w:val="TableText"/>
    <w:rsid w:val="004F27D5"/>
    <w:rPr>
      <w:rFonts w:ascii="Gill Sans MT" w:eastAsia="Times New Roman" w:hAnsi="Gill Sans MT"/>
      <w:sz w:val="20"/>
    </w:rPr>
  </w:style>
  <w:style w:type="paragraph" w:styleId="Title">
    <w:name w:val="Title"/>
    <w:basedOn w:val="Normal"/>
    <w:next w:val="Normal"/>
    <w:link w:val="TitleChar"/>
    <w:uiPriority w:val="10"/>
    <w:qFormat/>
    <w:rsid w:val="006D0DB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D0DB0"/>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6D0DB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6D0DB0"/>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6D0DB0"/>
    <w:rPr>
      <w:b/>
      <w:bCs/>
    </w:rPr>
  </w:style>
  <w:style w:type="paragraph" w:styleId="TableofFigures">
    <w:name w:val="table of figures"/>
    <w:basedOn w:val="Normal"/>
    <w:next w:val="Normal"/>
    <w:uiPriority w:val="99"/>
    <w:unhideWhenUsed/>
    <w:rsid w:val="00AF186C"/>
    <w:pPr>
      <w:spacing w:after="0"/>
    </w:pPr>
  </w:style>
  <w:style w:type="character" w:styleId="CommentReference">
    <w:name w:val="annotation reference"/>
    <w:basedOn w:val="DefaultParagraphFont"/>
    <w:uiPriority w:val="99"/>
    <w:semiHidden/>
    <w:unhideWhenUsed/>
    <w:rsid w:val="006E031E"/>
    <w:rPr>
      <w:sz w:val="16"/>
      <w:szCs w:val="16"/>
    </w:rPr>
  </w:style>
  <w:style w:type="paragraph" w:styleId="CommentText">
    <w:name w:val="annotation text"/>
    <w:basedOn w:val="Normal"/>
    <w:link w:val="CommentTextChar"/>
    <w:uiPriority w:val="99"/>
    <w:semiHidden/>
    <w:unhideWhenUsed/>
    <w:rsid w:val="006E031E"/>
    <w:pPr>
      <w:spacing w:line="240" w:lineRule="auto"/>
    </w:pPr>
    <w:rPr>
      <w:sz w:val="20"/>
      <w:szCs w:val="20"/>
    </w:rPr>
  </w:style>
  <w:style w:type="character" w:customStyle="1" w:styleId="CommentTextChar">
    <w:name w:val="Comment Text Char"/>
    <w:basedOn w:val="DefaultParagraphFont"/>
    <w:link w:val="CommentText"/>
    <w:uiPriority w:val="99"/>
    <w:semiHidden/>
    <w:rsid w:val="006E031E"/>
    <w:rPr>
      <w:rFonts w:ascii="Gill Sans MT" w:hAnsi="Gill Sans MT"/>
      <w:sz w:val="20"/>
      <w:szCs w:val="20"/>
    </w:rPr>
  </w:style>
  <w:style w:type="paragraph" w:styleId="CommentSubject">
    <w:name w:val="annotation subject"/>
    <w:basedOn w:val="CommentText"/>
    <w:next w:val="CommentText"/>
    <w:link w:val="CommentSubjectChar"/>
    <w:uiPriority w:val="99"/>
    <w:semiHidden/>
    <w:unhideWhenUsed/>
    <w:rsid w:val="006E031E"/>
    <w:rPr>
      <w:b/>
      <w:bCs/>
    </w:rPr>
  </w:style>
  <w:style w:type="character" w:customStyle="1" w:styleId="CommentSubjectChar">
    <w:name w:val="Comment Subject Char"/>
    <w:basedOn w:val="CommentTextChar"/>
    <w:link w:val="CommentSubject"/>
    <w:uiPriority w:val="99"/>
    <w:semiHidden/>
    <w:rsid w:val="006E031E"/>
    <w:rPr>
      <w:rFonts w:ascii="Gill Sans MT" w:hAnsi="Gill Sans MT"/>
      <w:b/>
      <w:bCs/>
      <w:sz w:val="20"/>
      <w:szCs w:val="20"/>
    </w:rPr>
  </w:style>
  <w:style w:type="paragraph" w:customStyle="1" w:styleId="margintop15">
    <w:name w:val="margintop15"/>
    <w:basedOn w:val="Normal"/>
    <w:rsid w:val="00E16A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itations">
    <w:name w:val="citations"/>
    <w:basedOn w:val="DefaultParagraphFont"/>
    <w:rsid w:val="00E16A1B"/>
  </w:style>
  <w:style w:type="character" w:customStyle="1" w:styleId="apple-converted-space">
    <w:name w:val="apple-converted-space"/>
    <w:basedOn w:val="DefaultParagraphFont"/>
    <w:rsid w:val="00E16A1B"/>
  </w:style>
  <w:style w:type="paragraph" w:styleId="Revision">
    <w:name w:val="Revision"/>
    <w:hidden/>
    <w:uiPriority w:val="99"/>
    <w:semiHidden/>
    <w:rsid w:val="00BC32CF"/>
    <w:pPr>
      <w:spacing w:after="0" w:line="240" w:lineRule="auto"/>
    </w:pPr>
    <w:rPr>
      <w:rFonts w:ascii="Gill Sans MT" w:hAnsi="Gill Sans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183023">
      <w:bodyDiv w:val="1"/>
      <w:marLeft w:val="0"/>
      <w:marRight w:val="0"/>
      <w:marTop w:val="0"/>
      <w:marBottom w:val="0"/>
      <w:divBdr>
        <w:top w:val="none" w:sz="0" w:space="0" w:color="auto"/>
        <w:left w:val="none" w:sz="0" w:space="0" w:color="auto"/>
        <w:bottom w:val="none" w:sz="0" w:space="0" w:color="auto"/>
        <w:right w:val="none" w:sz="0" w:space="0" w:color="auto"/>
      </w:divBdr>
    </w:div>
    <w:div w:id="380906344">
      <w:bodyDiv w:val="1"/>
      <w:marLeft w:val="0"/>
      <w:marRight w:val="0"/>
      <w:marTop w:val="0"/>
      <w:marBottom w:val="0"/>
      <w:divBdr>
        <w:top w:val="none" w:sz="0" w:space="0" w:color="auto"/>
        <w:left w:val="none" w:sz="0" w:space="0" w:color="auto"/>
        <w:bottom w:val="none" w:sz="0" w:space="0" w:color="auto"/>
        <w:right w:val="none" w:sz="0" w:space="0" w:color="auto"/>
      </w:divBdr>
    </w:div>
    <w:div w:id="1065377451">
      <w:bodyDiv w:val="1"/>
      <w:marLeft w:val="0"/>
      <w:marRight w:val="0"/>
      <w:marTop w:val="0"/>
      <w:marBottom w:val="0"/>
      <w:divBdr>
        <w:top w:val="none" w:sz="0" w:space="0" w:color="auto"/>
        <w:left w:val="none" w:sz="0" w:space="0" w:color="auto"/>
        <w:bottom w:val="none" w:sz="0" w:space="0" w:color="auto"/>
        <w:right w:val="none" w:sz="0" w:space="0" w:color="auto"/>
      </w:divBdr>
    </w:div>
    <w:div w:id="1786002884">
      <w:bodyDiv w:val="1"/>
      <w:marLeft w:val="0"/>
      <w:marRight w:val="0"/>
      <w:marTop w:val="0"/>
      <w:marBottom w:val="0"/>
      <w:divBdr>
        <w:top w:val="none" w:sz="0" w:space="0" w:color="auto"/>
        <w:left w:val="none" w:sz="0" w:space="0" w:color="auto"/>
        <w:bottom w:val="none" w:sz="0" w:space="0" w:color="auto"/>
        <w:right w:val="none" w:sz="0" w:space="0" w:color="auto"/>
      </w:divBdr>
    </w:div>
    <w:div w:id="1819836086">
      <w:bodyDiv w:val="1"/>
      <w:marLeft w:val="0"/>
      <w:marRight w:val="0"/>
      <w:marTop w:val="0"/>
      <w:marBottom w:val="0"/>
      <w:divBdr>
        <w:top w:val="none" w:sz="0" w:space="0" w:color="auto"/>
        <w:left w:val="none" w:sz="0" w:space="0" w:color="auto"/>
        <w:bottom w:val="none" w:sz="0" w:space="0" w:color="auto"/>
        <w:right w:val="none" w:sz="0" w:space="0" w:color="auto"/>
      </w:divBdr>
    </w:div>
    <w:div w:id="2077581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5.xml"/><Relationship Id="rId21" Type="http://schemas.openxmlformats.org/officeDocument/2006/relationships/image" Target="media/image4.jpeg"/><Relationship Id="rId34" Type="http://schemas.openxmlformats.org/officeDocument/2006/relationships/image" Target="media/image11.jpeg"/><Relationship Id="rId42" Type="http://schemas.openxmlformats.org/officeDocument/2006/relationships/chart" Target="charts/chart13.xml"/><Relationship Id="rId47" Type="http://schemas.openxmlformats.org/officeDocument/2006/relationships/chart" Target="charts/chart15.xml"/><Relationship Id="rId50" Type="http://schemas.openxmlformats.org/officeDocument/2006/relationships/image" Target="media/image19.jpeg"/><Relationship Id="rId55" Type="http://schemas.openxmlformats.org/officeDocument/2006/relationships/chart" Target="charts/chart20.xml"/><Relationship Id="rId63" Type="http://schemas.openxmlformats.org/officeDocument/2006/relationships/hyperlink" Target="http://www.gov.state.la.us/lasocialindicators"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bach-harrison.com/lasocialindicators/" TargetMode="External"/><Relationship Id="rId29" Type="http://schemas.openxmlformats.org/officeDocument/2006/relationships/image" Target="media/image10.jpeg"/><Relationship Id="rId11" Type="http://schemas.openxmlformats.org/officeDocument/2006/relationships/header" Target="header1.xml"/><Relationship Id="rId24" Type="http://schemas.openxmlformats.org/officeDocument/2006/relationships/image" Target="media/image6.jpeg"/><Relationship Id="rId32" Type="http://schemas.openxmlformats.org/officeDocument/2006/relationships/chart" Target="charts/chart8.xml"/><Relationship Id="rId37" Type="http://schemas.openxmlformats.org/officeDocument/2006/relationships/chart" Target="charts/chart11.xml"/><Relationship Id="rId40" Type="http://schemas.openxmlformats.org/officeDocument/2006/relationships/image" Target="media/image14.jpeg"/><Relationship Id="rId45" Type="http://schemas.openxmlformats.org/officeDocument/2006/relationships/image" Target="media/image18.jpeg"/><Relationship Id="rId53" Type="http://schemas.openxmlformats.org/officeDocument/2006/relationships/chart" Target="charts/chart18.xml"/><Relationship Id="rId58" Type="http://schemas.openxmlformats.org/officeDocument/2006/relationships/chart" Target="charts/chart23.xml"/><Relationship Id="rId66" Type="http://schemas.openxmlformats.org/officeDocument/2006/relationships/theme" Target="theme/theme1.xml"/><Relationship Id="rId5" Type="http://schemas.microsoft.com/office/2007/relationships/stylesWithEffects" Target="stylesWithEffects.xml"/><Relationship Id="rId61" Type="http://schemas.openxmlformats.org/officeDocument/2006/relationships/chart" Target="charts/chart26.xml"/><Relationship Id="rId19" Type="http://schemas.openxmlformats.org/officeDocument/2006/relationships/chart" Target="charts/chart2.xml"/><Relationship Id="rId14" Type="http://schemas.openxmlformats.org/officeDocument/2006/relationships/hyperlink" Target="http://www.gov.state.la.us/lasocialindicators" TargetMode="External"/><Relationship Id="rId22" Type="http://schemas.openxmlformats.org/officeDocument/2006/relationships/chart" Target="charts/chart4.xml"/><Relationship Id="rId27" Type="http://schemas.openxmlformats.org/officeDocument/2006/relationships/image" Target="media/image8.jpeg"/><Relationship Id="rId30" Type="http://schemas.openxmlformats.org/officeDocument/2006/relationships/chart" Target="charts/chart6.xml"/><Relationship Id="rId35" Type="http://schemas.openxmlformats.org/officeDocument/2006/relationships/chart" Target="charts/chart10.xml"/><Relationship Id="rId43" Type="http://schemas.openxmlformats.org/officeDocument/2006/relationships/image" Target="media/image16.jpeg"/><Relationship Id="rId48" Type="http://schemas.openxmlformats.org/officeDocument/2006/relationships/chart" Target="charts/chart16.xml"/><Relationship Id="rId56" Type="http://schemas.openxmlformats.org/officeDocument/2006/relationships/chart" Target="charts/chart21.xml"/><Relationship Id="rId64" Type="http://schemas.openxmlformats.org/officeDocument/2006/relationships/footer" Target="footer4.xml"/><Relationship Id="rId8" Type="http://schemas.openxmlformats.org/officeDocument/2006/relationships/footnotes" Target="footnotes.xml"/><Relationship Id="rId51" Type="http://schemas.openxmlformats.org/officeDocument/2006/relationships/image" Target="media/image20.jpeg"/><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7.jpeg"/><Relationship Id="rId33" Type="http://schemas.openxmlformats.org/officeDocument/2006/relationships/chart" Target="charts/chart9.xml"/><Relationship Id="rId38" Type="http://schemas.openxmlformats.org/officeDocument/2006/relationships/chart" Target="charts/chart12.xml"/><Relationship Id="rId46" Type="http://schemas.openxmlformats.org/officeDocument/2006/relationships/chart" Target="charts/chart14.xml"/><Relationship Id="rId59" Type="http://schemas.openxmlformats.org/officeDocument/2006/relationships/chart" Target="charts/chart24.xml"/><Relationship Id="rId20" Type="http://schemas.openxmlformats.org/officeDocument/2006/relationships/chart" Target="charts/chart3.xml"/><Relationship Id="rId41" Type="http://schemas.openxmlformats.org/officeDocument/2006/relationships/image" Target="media/image15.jpeg"/><Relationship Id="rId54" Type="http://schemas.openxmlformats.org/officeDocument/2006/relationships/chart" Target="charts/chart19.xml"/><Relationship Id="rId62" Type="http://schemas.openxmlformats.org/officeDocument/2006/relationships/chart" Target="charts/chart27.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5.jpeg"/><Relationship Id="rId28" Type="http://schemas.openxmlformats.org/officeDocument/2006/relationships/image" Target="media/image9.jpeg"/><Relationship Id="rId36" Type="http://schemas.openxmlformats.org/officeDocument/2006/relationships/image" Target="media/image12.jpeg"/><Relationship Id="rId49" Type="http://schemas.openxmlformats.org/officeDocument/2006/relationships/chart" Target="charts/chart17.xml"/><Relationship Id="rId57" Type="http://schemas.openxmlformats.org/officeDocument/2006/relationships/chart" Target="charts/chart22.xml"/><Relationship Id="rId10" Type="http://schemas.openxmlformats.org/officeDocument/2006/relationships/image" Target="media/image1.jpeg"/><Relationship Id="rId31" Type="http://schemas.openxmlformats.org/officeDocument/2006/relationships/chart" Target="charts/chart7.xml"/><Relationship Id="rId44" Type="http://schemas.openxmlformats.org/officeDocument/2006/relationships/image" Target="media/image17.jpeg"/><Relationship Id="rId52" Type="http://schemas.openxmlformats.org/officeDocument/2006/relationships/image" Target="media/image21.jpeg"/><Relationship Id="rId60" Type="http://schemas.openxmlformats.org/officeDocument/2006/relationships/chart" Target="charts/chart25.xml"/><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chart" Target="charts/chart1.xml"/><Relationship Id="rId39" Type="http://schemas.openxmlformats.org/officeDocument/2006/relationships/image" Target="media/image13.jpe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3" Type="http://schemas.openxmlformats.org/officeDocument/2006/relationships/hyperlink" Target="http://aspe.hhs.gov/poverty/13poverty.cfm" TargetMode="External"/><Relationship Id="rId2" Type="http://schemas.openxmlformats.org/officeDocument/2006/relationships/hyperlink" Target="http://www.bach-harrison.com/lasocialindicators/" TargetMode="External"/><Relationship Id="rId1" Type="http://schemas.openxmlformats.org/officeDocument/2006/relationships/hyperlink" Target="http://www.gov.state.la.us/index.cfm?md=pagebuilder&amp;tmp=home&amp;cpID=125" TargetMode="External"/><Relationship Id="rId4" Type="http://schemas.openxmlformats.org/officeDocument/2006/relationships/hyperlink" Target="http://www.cdc.gov/mmwr/preview/mmwrhtml/mm6122a3.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gasmus\Documents\Projects\SEOW%202012-13\SEW%20Profile\Content\SEW%20chart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gasmus\Documents\Projects\SEOW%202012-13\SEW%20Profile\Content\SEW%20chart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gasmus\Documents\Projects\SEOW%202012-13\SEW%20Profile\Content\SEW%20charts.xlsx" TargetMode="Externa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13.xml.rels><?xml version="1.0" encoding="UTF-8" standalone="yes"?>
<Relationships xmlns="http://schemas.openxmlformats.org/package/2006/relationships"><Relationship Id="rId1" Type="http://schemas.openxmlformats.org/officeDocument/2006/relationships/oleObject" Target="file:///\\pccddc1\PCCD\Research\SEOW\SEW%20chart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gasmus\Documents\Projects\SEOW%202012-13\SEW%20Profile\Content\SEW%20chart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gasmus\Documents\Projects\SEOW%202012-13\SEW%20Profile\Content\SEW%20chart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gasmus\Documents\Projects\SEOW%202012-13\SEW%20Profile\Content\SEW%20charts.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pccddc1\PCCD\Research\SEOW\SEW%20charts.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gasmus\Documents\Projects\SEOW%202012-13\SEW%20Profile\Content\SEW%20charts.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gasmus\Documents\Projects\SEOW%202012-13\SEW%20Profile\Content\SEW%20char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gasmus\Documents\Projects\SEOW%202012-13\SEW%20Profile\Content\SEW%20charts.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gasmus\Documents\Projects\SEOW%202012-13\SEW%20Profile\Youth_Depressive_Symptoms.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gasmus\Documents\Projects\SEOW%202012-13\SEW%20Profile\Adult_Major_Depressive_Episode.csv"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gasmus\Documents\Projects\SEOW%202012-13\SEW%20Profile\Adult_Any_Mental_Illness.csv"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gasmus\Documents\Projects\SEOW%202012-13\SEW%20Profile\Adult_Serious_Mental_Illness.csv"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gasmus\Documents\Projects\SEOW%202012-13\SEW%20Profile\Adult_Suicidal_Ideation.csv"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gasmus\My%20Documents\poverty.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1" Type="http://schemas.openxmlformats.org/officeDocument/2006/relationships/oleObject" Target="file:///\\pccddc1\PCCD\Research\SEOW\SEW%20chart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gasmus\AppData\Local\Microsoft\Windows\Temporary%20Internet%20Files\Content.IE5\S21WU79N\J1-2013.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gasmus\Documents\Projects\SEOW%202012-13\SEW%20Profile\Content\SEW%20chart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gasmus\Documents\Projects\SEOW%202012-13\SEW%20Profile\Content\SEW%20chart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gasmus\Documents\Projects\SEOW%202012-13\SEW%20Profile\Content\SEW%20char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a:pPr>
            <a:r>
              <a:rPr lang="en-US" sz="1000"/>
              <a:t>Population Characteristics, Louisiana vs. United States (2010)</a:t>
            </a:r>
          </a:p>
        </c:rich>
      </c:tx>
      <c:layout/>
      <c:overlay val="0"/>
    </c:title>
    <c:autoTitleDeleted val="0"/>
    <c:plotArea>
      <c:layout/>
      <c:barChart>
        <c:barDir val="col"/>
        <c:grouping val="clustered"/>
        <c:varyColors val="0"/>
        <c:ser>
          <c:idx val="0"/>
          <c:order val="0"/>
          <c:tx>
            <c:v>Louisiana</c:v>
          </c:tx>
          <c:spPr>
            <a:solidFill>
              <a:srgbClr val="0075B0"/>
            </a:solidFill>
          </c:spPr>
          <c:invertIfNegative val="0"/>
          <c:cat>
            <c:strRef>
              <c:f>Population!$C$6:$M$6</c:f>
              <c:strCache>
                <c:ptCount val="11"/>
                <c:pt idx="0">
                  <c:v>White</c:v>
                </c:pt>
                <c:pt idx="1">
                  <c:v>Black/African American</c:v>
                </c:pt>
                <c:pt idx="2">
                  <c:v>American Indian/Alaskan</c:v>
                </c:pt>
                <c:pt idx="3">
                  <c:v>Asian</c:v>
                </c:pt>
                <c:pt idx="4">
                  <c:v>Some Other Race</c:v>
                </c:pt>
                <c:pt idx="5">
                  <c:v>Two or More Races</c:v>
                </c:pt>
                <c:pt idx="6">
                  <c:v>Hispanic </c:v>
                </c:pt>
                <c:pt idx="7">
                  <c:v>Under 5</c:v>
                </c:pt>
                <c:pt idx="8">
                  <c:v>Under 18</c:v>
                </c:pt>
                <c:pt idx="9">
                  <c:v>65 and Over</c:v>
                </c:pt>
                <c:pt idx="10">
                  <c:v>Female</c:v>
                </c:pt>
              </c:strCache>
            </c:strRef>
          </c:cat>
          <c:val>
            <c:numRef>
              <c:f>Population!$C$71:$M$71</c:f>
              <c:numCache>
                <c:formatCode>0.0</c:formatCode>
                <c:ptCount val="11"/>
                <c:pt idx="0">
                  <c:v>62.6</c:v>
                </c:pt>
                <c:pt idx="1">
                  <c:v>32</c:v>
                </c:pt>
                <c:pt idx="2">
                  <c:v>0.70000000000000062</c:v>
                </c:pt>
                <c:pt idx="3">
                  <c:v>1.5</c:v>
                </c:pt>
                <c:pt idx="4">
                  <c:v>1.5</c:v>
                </c:pt>
                <c:pt idx="5">
                  <c:v>1.6</c:v>
                </c:pt>
                <c:pt idx="6">
                  <c:v>4.2</c:v>
                </c:pt>
                <c:pt idx="7">
                  <c:v>6.9</c:v>
                </c:pt>
                <c:pt idx="8">
                  <c:v>24.7</c:v>
                </c:pt>
                <c:pt idx="9">
                  <c:v>12.3</c:v>
                </c:pt>
                <c:pt idx="10">
                  <c:v>51</c:v>
                </c:pt>
              </c:numCache>
            </c:numRef>
          </c:val>
        </c:ser>
        <c:ser>
          <c:idx val="1"/>
          <c:order val="1"/>
          <c:tx>
            <c:v>United states</c:v>
          </c:tx>
          <c:spPr>
            <a:solidFill>
              <a:srgbClr val="FAB037"/>
            </a:solidFill>
          </c:spPr>
          <c:invertIfNegative val="0"/>
          <c:cat>
            <c:strRef>
              <c:f>Population!$C$6:$M$6</c:f>
              <c:strCache>
                <c:ptCount val="11"/>
                <c:pt idx="0">
                  <c:v>White</c:v>
                </c:pt>
                <c:pt idx="1">
                  <c:v>Black/African American</c:v>
                </c:pt>
                <c:pt idx="2">
                  <c:v>American Indian/Alaskan</c:v>
                </c:pt>
                <c:pt idx="3">
                  <c:v>Asian</c:v>
                </c:pt>
                <c:pt idx="4">
                  <c:v>Some Other Race</c:v>
                </c:pt>
                <c:pt idx="5">
                  <c:v>Two or More Races</c:v>
                </c:pt>
                <c:pt idx="6">
                  <c:v>Hispanic </c:v>
                </c:pt>
                <c:pt idx="7">
                  <c:v>Under 5</c:v>
                </c:pt>
                <c:pt idx="8">
                  <c:v>Under 18</c:v>
                </c:pt>
                <c:pt idx="9">
                  <c:v>65 and Over</c:v>
                </c:pt>
                <c:pt idx="10">
                  <c:v>Female</c:v>
                </c:pt>
              </c:strCache>
            </c:strRef>
          </c:cat>
          <c:val>
            <c:numRef>
              <c:f>Population!$C$72:$M$72</c:f>
              <c:numCache>
                <c:formatCode>0.0</c:formatCode>
                <c:ptCount val="11"/>
                <c:pt idx="0">
                  <c:v>72.400000000000006</c:v>
                </c:pt>
                <c:pt idx="1">
                  <c:v>12.6</c:v>
                </c:pt>
                <c:pt idx="2">
                  <c:v>0.9</c:v>
                </c:pt>
                <c:pt idx="3">
                  <c:v>4.8</c:v>
                </c:pt>
                <c:pt idx="4">
                  <c:v>6.2</c:v>
                </c:pt>
                <c:pt idx="5">
                  <c:v>2.9</c:v>
                </c:pt>
                <c:pt idx="6">
                  <c:v>16.3</c:v>
                </c:pt>
                <c:pt idx="7">
                  <c:v>6.5</c:v>
                </c:pt>
                <c:pt idx="8">
                  <c:v>24</c:v>
                </c:pt>
                <c:pt idx="9">
                  <c:v>13</c:v>
                </c:pt>
                <c:pt idx="10">
                  <c:v>50.8</c:v>
                </c:pt>
              </c:numCache>
            </c:numRef>
          </c:val>
        </c:ser>
        <c:dLbls>
          <c:showLegendKey val="0"/>
          <c:showVal val="0"/>
          <c:showCatName val="0"/>
          <c:showSerName val="0"/>
          <c:showPercent val="0"/>
          <c:showBubbleSize val="0"/>
        </c:dLbls>
        <c:gapWidth val="150"/>
        <c:axId val="50296832"/>
        <c:axId val="50141952"/>
      </c:barChart>
      <c:catAx>
        <c:axId val="50296832"/>
        <c:scaling>
          <c:orientation val="minMax"/>
        </c:scaling>
        <c:delete val="0"/>
        <c:axPos val="b"/>
        <c:majorTickMark val="out"/>
        <c:minorTickMark val="none"/>
        <c:tickLblPos val="nextTo"/>
        <c:txPr>
          <a:bodyPr rot="-5400000" vert="horz"/>
          <a:lstStyle/>
          <a:p>
            <a:pPr>
              <a:defRPr/>
            </a:pPr>
            <a:endParaRPr lang="en-US"/>
          </a:p>
        </c:txPr>
        <c:crossAx val="50141952"/>
        <c:crosses val="autoZero"/>
        <c:auto val="1"/>
        <c:lblAlgn val="ctr"/>
        <c:lblOffset val="100"/>
        <c:noMultiLvlLbl val="0"/>
      </c:catAx>
      <c:valAx>
        <c:axId val="50141952"/>
        <c:scaling>
          <c:orientation val="minMax"/>
        </c:scaling>
        <c:delete val="0"/>
        <c:axPos val="l"/>
        <c:majorGridlines/>
        <c:title>
          <c:tx>
            <c:rich>
              <a:bodyPr rot="-5400000" vert="horz"/>
              <a:lstStyle/>
              <a:p>
                <a:pPr>
                  <a:defRPr/>
                </a:pPr>
                <a:r>
                  <a:rPr lang="en-US"/>
                  <a:t>Percentage</a:t>
                </a:r>
              </a:p>
            </c:rich>
          </c:tx>
          <c:layout>
            <c:manualLayout>
              <c:xMode val="edge"/>
              <c:yMode val="edge"/>
              <c:x val="2.8415298101174866E-2"/>
              <c:y val="0.38919389968031592"/>
            </c:manualLayout>
          </c:layout>
          <c:overlay val="0"/>
        </c:title>
        <c:numFmt formatCode="0" sourceLinked="0"/>
        <c:majorTickMark val="out"/>
        <c:minorTickMark val="none"/>
        <c:tickLblPos val="nextTo"/>
        <c:crossAx val="50296832"/>
        <c:crosses val="autoZero"/>
        <c:crossBetween val="between"/>
      </c:valAx>
      <c:dTable>
        <c:showHorzBorder val="1"/>
        <c:showVertBorder val="1"/>
        <c:showOutline val="1"/>
        <c:showKeys val="1"/>
        <c:txPr>
          <a:bodyPr/>
          <a:lstStyle/>
          <a:p>
            <a:pPr rtl="0">
              <a:defRPr sz="800"/>
            </a:pPr>
            <a:endParaRPr lang="en-US"/>
          </a:p>
        </c:txPr>
      </c:dTable>
    </c:plotArea>
    <c:plotVisOnly val="1"/>
    <c:dispBlanksAs val="gap"/>
    <c:showDLblsOverMax val="0"/>
  </c:chart>
  <c:spPr>
    <a:ln>
      <a:noFill/>
    </a:ln>
  </c:spPr>
  <c:txPr>
    <a:bodyPr/>
    <a:lstStyle/>
    <a:p>
      <a:pPr>
        <a:defRPr>
          <a:latin typeface="Gill Sans MT" pitchFamily="3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sz="1000">
                <a:latin typeface="Gill Sans MT" pitchFamily="34" charset="0"/>
              </a:defRPr>
            </a:pPr>
            <a:r>
              <a:rPr lang="en-US" sz="1000">
                <a:latin typeface="Gill Sans MT" pitchFamily="34" charset="0"/>
              </a:rPr>
              <a:t>Percentage</a:t>
            </a:r>
            <a:r>
              <a:rPr lang="en-US" sz="1000" baseline="0">
                <a:latin typeface="Gill Sans MT" pitchFamily="34" charset="0"/>
              </a:rPr>
              <a:t> of Adults Indicating Binge Drinking In Past 30 Days, Louisiana vs. United States (2001-2011)</a:t>
            </a:r>
            <a:endParaRPr lang="en-US" sz="1000">
              <a:latin typeface="Gill Sans MT" pitchFamily="34" charset="0"/>
            </a:endParaRPr>
          </a:p>
        </c:rich>
      </c:tx>
      <c:layout>
        <c:manualLayout>
          <c:xMode val="edge"/>
          <c:yMode val="edge"/>
          <c:x val="0.11086530049128476"/>
          <c:y val="5.4020646186832298E-2"/>
        </c:manualLayout>
      </c:layout>
      <c:overlay val="0"/>
    </c:title>
    <c:autoTitleDeleted val="0"/>
    <c:plotArea>
      <c:layout>
        <c:manualLayout>
          <c:layoutTarget val="inner"/>
          <c:xMode val="edge"/>
          <c:yMode val="edge"/>
          <c:x val="0.21012898734502805"/>
          <c:y val="0.30550213675213678"/>
          <c:w val="0.76638575700779377"/>
          <c:h val="0.42896266572447705"/>
        </c:manualLayout>
      </c:layout>
      <c:lineChart>
        <c:grouping val="standard"/>
        <c:varyColors val="0"/>
        <c:ser>
          <c:idx val="0"/>
          <c:order val="0"/>
          <c:tx>
            <c:v>Louisiana</c:v>
          </c:tx>
          <c:spPr>
            <a:ln>
              <a:solidFill>
                <a:srgbClr val="0075B0"/>
              </a:solidFill>
            </a:ln>
          </c:spPr>
          <c:marker>
            <c:symbol val="diamond"/>
            <c:size val="6"/>
            <c:spPr>
              <a:solidFill>
                <a:srgbClr val="0075B0"/>
              </a:solidFill>
            </c:spPr>
          </c:marker>
          <c:cat>
            <c:numRef>
              <c:f>Adult_Binge_Drinking!$B$6:$L$6</c:f>
              <c:numCache>
                <c:formatCode>General</c:formatCode>
                <c:ptCount val="11"/>
                <c:pt idx="0">
                  <c:v>2001</c:v>
                </c:pt>
                <c:pt idx="1">
                  <c:v>2002</c:v>
                </c:pt>
                <c:pt idx="2">
                  <c:v>2003</c:v>
                </c:pt>
                <c:pt idx="3">
                  <c:v>2004</c:v>
                </c:pt>
                <c:pt idx="4">
                  <c:v>2005</c:v>
                </c:pt>
                <c:pt idx="5">
                  <c:v>2006</c:v>
                </c:pt>
                <c:pt idx="6">
                  <c:v>2007</c:v>
                </c:pt>
                <c:pt idx="7">
                  <c:v>2008</c:v>
                </c:pt>
                <c:pt idx="8">
                  <c:v>2009</c:v>
                </c:pt>
                <c:pt idx="9">
                  <c:v>2010</c:v>
                </c:pt>
                <c:pt idx="10">
                  <c:v>2011</c:v>
                </c:pt>
              </c:numCache>
            </c:numRef>
          </c:cat>
          <c:val>
            <c:numRef>
              <c:f>Adult_Binge_Drinking!$B$7:$L$7</c:f>
              <c:numCache>
                <c:formatCode>0.0</c:formatCode>
                <c:ptCount val="11"/>
                <c:pt idx="0">
                  <c:v>13.8</c:v>
                </c:pt>
                <c:pt idx="1">
                  <c:v>13.8</c:v>
                </c:pt>
                <c:pt idx="2">
                  <c:v>16.399999999999899</c:v>
                </c:pt>
                <c:pt idx="3">
                  <c:v>14.2</c:v>
                </c:pt>
                <c:pt idx="4">
                  <c:v>14</c:v>
                </c:pt>
                <c:pt idx="5">
                  <c:v>13.3</c:v>
                </c:pt>
                <c:pt idx="6">
                  <c:v>13.4</c:v>
                </c:pt>
                <c:pt idx="7">
                  <c:v>13.5</c:v>
                </c:pt>
                <c:pt idx="8">
                  <c:v>14.4</c:v>
                </c:pt>
                <c:pt idx="9">
                  <c:v>15</c:v>
                </c:pt>
                <c:pt idx="10">
                  <c:v>16.100000000000001</c:v>
                </c:pt>
              </c:numCache>
            </c:numRef>
          </c:val>
          <c:smooth val="0"/>
        </c:ser>
        <c:ser>
          <c:idx val="1"/>
          <c:order val="1"/>
          <c:tx>
            <c:v>United States</c:v>
          </c:tx>
          <c:spPr>
            <a:ln>
              <a:solidFill>
                <a:srgbClr val="FAB037"/>
              </a:solidFill>
            </a:ln>
          </c:spPr>
          <c:marker>
            <c:symbol val="diamond"/>
            <c:size val="6"/>
            <c:spPr>
              <a:solidFill>
                <a:srgbClr val="FAB037"/>
              </a:solidFill>
            </c:spPr>
          </c:marker>
          <c:cat>
            <c:numRef>
              <c:f>Adult_Binge_Drinking!$B$6:$L$6</c:f>
              <c:numCache>
                <c:formatCode>General</c:formatCode>
                <c:ptCount val="11"/>
                <c:pt idx="0">
                  <c:v>2001</c:v>
                </c:pt>
                <c:pt idx="1">
                  <c:v>2002</c:v>
                </c:pt>
                <c:pt idx="2">
                  <c:v>2003</c:v>
                </c:pt>
                <c:pt idx="3">
                  <c:v>2004</c:v>
                </c:pt>
                <c:pt idx="4">
                  <c:v>2005</c:v>
                </c:pt>
                <c:pt idx="5">
                  <c:v>2006</c:v>
                </c:pt>
                <c:pt idx="6">
                  <c:v>2007</c:v>
                </c:pt>
                <c:pt idx="7">
                  <c:v>2008</c:v>
                </c:pt>
                <c:pt idx="8">
                  <c:v>2009</c:v>
                </c:pt>
                <c:pt idx="9">
                  <c:v>2010</c:v>
                </c:pt>
                <c:pt idx="10">
                  <c:v>2011</c:v>
                </c:pt>
              </c:numCache>
            </c:numRef>
          </c:cat>
          <c:val>
            <c:numRef>
              <c:f>Adult_Binge_Drinking!$B$8:$L$8</c:f>
              <c:numCache>
                <c:formatCode>0.0</c:formatCode>
                <c:ptCount val="11"/>
                <c:pt idx="0">
                  <c:v>14.75</c:v>
                </c:pt>
                <c:pt idx="1">
                  <c:v>16.100000000000001</c:v>
                </c:pt>
                <c:pt idx="2">
                  <c:v>16.5</c:v>
                </c:pt>
                <c:pt idx="3">
                  <c:v>14.9</c:v>
                </c:pt>
                <c:pt idx="4">
                  <c:v>14.4</c:v>
                </c:pt>
                <c:pt idx="5">
                  <c:v>15.4</c:v>
                </c:pt>
                <c:pt idx="6">
                  <c:v>15.7</c:v>
                </c:pt>
                <c:pt idx="7">
                  <c:v>15.6</c:v>
                </c:pt>
                <c:pt idx="8">
                  <c:v>15.5</c:v>
                </c:pt>
                <c:pt idx="9">
                  <c:v>15.1</c:v>
                </c:pt>
                <c:pt idx="10">
                  <c:v>18.25</c:v>
                </c:pt>
              </c:numCache>
            </c:numRef>
          </c:val>
          <c:smooth val="0"/>
        </c:ser>
        <c:dLbls>
          <c:showLegendKey val="0"/>
          <c:showVal val="0"/>
          <c:showCatName val="0"/>
          <c:showSerName val="0"/>
          <c:showPercent val="0"/>
          <c:showBubbleSize val="0"/>
        </c:dLbls>
        <c:marker val="1"/>
        <c:smooth val="0"/>
        <c:axId val="122510848"/>
        <c:axId val="126361600"/>
      </c:lineChart>
      <c:catAx>
        <c:axId val="122510848"/>
        <c:scaling>
          <c:orientation val="minMax"/>
        </c:scaling>
        <c:delete val="0"/>
        <c:axPos val="b"/>
        <c:numFmt formatCode="General" sourceLinked="1"/>
        <c:majorTickMark val="none"/>
        <c:minorTickMark val="none"/>
        <c:tickLblPos val="nextTo"/>
        <c:crossAx val="126361600"/>
        <c:crosses val="autoZero"/>
        <c:auto val="1"/>
        <c:lblAlgn val="ctr"/>
        <c:lblOffset val="100"/>
        <c:noMultiLvlLbl val="0"/>
      </c:catAx>
      <c:valAx>
        <c:axId val="126361600"/>
        <c:scaling>
          <c:orientation val="minMax"/>
        </c:scaling>
        <c:delete val="0"/>
        <c:axPos val="l"/>
        <c:majorGridlines/>
        <c:title>
          <c:tx>
            <c:rich>
              <a:bodyPr/>
              <a:lstStyle/>
              <a:p>
                <a:pPr>
                  <a:defRPr b="0">
                    <a:latin typeface="Gill Sans MT" pitchFamily="34" charset="0"/>
                  </a:defRPr>
                </a:pPr>
                <a:r>
                  <a:rPr lang="en-US" b="0">
                    <a:latin typeface="Gill Sans MT" pitchFamily="34" charset="0"/>
                  </a:rPr>
                  <a:t>Percentage</a:t>
                </a:r>
              </a:p>
            </c:rich>
          </c:tx>
          <c:layout>
            <c:manualLayout>
              <c:xMode val="edge"/>
              <c:yMode val="edge"/>
              <c:x val="6.7415730337078844E-2"/>
              <c:y val="0.41647143422140731"/>
            </c:manualLayout>
          </c:layout>
          <c:overlay val="0"/>
        </c:title>
        <c:numFmt formatCode="0" sourceLinked="0"/>
        <c:majorTickMark val="none"/>
        <c:minorTickMark val="none"/>
        <c:tickLblPos val="nextTo"/>
        <c:txPr>
          <a:bodyPr/>
          <a:lstStyle/>
          <a:p>
            <a:pPr>
              <a:defRPr>
                <a:latin typeface="Gill Sans MT" pitchFamily="34" charset="0"/>
              </a:defRPr>
            </a:pPr>
            <a:endParaRPr lang="en-US"/>
          </a:p>
        </c:txPr>
        <c:crossAx val="122510848"/>
        <c:crosses val="autoZero"/>
        <c:crossBetween val="between"/>
      </c:valAx>
      <c:dTable>
        <c:showHorzBorder val="1"/>
        <c:showVertBorder val="1"/>
        <c:showOutline val="1"/>
        <c:showKeys val="1"/>
        <c:txPr>
          <a:bodyPr/>
          <a:lstStyle/>
          <a:p>
            <a:pPr rtl="0">
              <a:defRPr>
                <a:latin typeface="Gill Sans MT" pitchFamily="34" charset="0"/>
              </a:defRPr>
            </a:pPr>
            <a:endParaRPr lang="en-US"/>
          </a:p>
        </c:txPr>
      </c:dTable>
    </c:plotArea>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sz="1000">
                <a:latin typeface="Gill Sans MT" pitchFamily="34" charset="0"/>
              </a:defRPr>
            </a:pPr>
            <a:r>
              <a:rPr lang="en-US" sz="1000">
                <a:latin typeface="Gill Sans MT" pitchFamily="34" charset="0"/>
              </a:rPr>
              <a:t>Percentage of Individuals</a:t>
            </a:r>
            <a:r>
              <a:rPr lang="en-US" sz="1000" baseline="0">
                <a:latin typeface="Gill Sans MT" pitchFamily="34" charset="0"/>
              </a:rPr>
              <a:t> Meeting Criteria for Alcohol Dependence or Abuse, Louisiana vs. United States (2003-2009)</a:t>
            </a:r>
            <a:r>
              <a:rPr lang="en-US" sz="1000">
                <a:latin typeface="Gill Sans MT" pitchFamily="34" charset="0"/>
              </a:rPr>
              <a:t> </a:t>
            </a:r>
          </a:p>
        </c:rich>
      </c:tx>
      <c:layout/>
      <c:overlay val="0"/>
    </c:title>
    <c:autoTitleDeleted val="0"/>
    <c:plotArea>
      <c:layout/>
      <c:lineChart>
        <c:grouping val="standard"/>
        <c:varyColors val="0"/>
        <c:ser>
          <c:idx val="0"/>
          <c:order val="0"/>
          <c:tx>
            <c:v>Louisiana</c:v>
          </c:tx>
          <c:spPr>
            <a:ln>
              <a:solidFill>
                <a:srgbClr val="0075B0"/>
              </a:solidFill>
            </a:ln>
          </c:spPr>
          <c:marker>
            <c:symbol val="diamond"/>
            <c:size val="6"/>
            <c:spPr>
              <a:solidFill>
                <a:srgbClr val="0075B0"/>
              </a:solidFill>
            </c:spPr>
          </c:marker>
          <c:cat>
            <c:numRef>
              <c:f>Adult_Alcohol_Dependence!$B$6:$H$6</c:f>
              <c:numCache>
                <c:formatCode>General</c:formatCode>
                <c:ptCount val="7"/>
                <c:pt idx="0">
                  <c:v>2003</c:v>
                </c:pt>
                <c:pt idx="1">
                  <c:v>2004</c:v>
                </c:pt>
                <c:pt idx="2">
                  <c:v>2005</c:v>
                </c:pt>
                <c:pt idx="3">
                  <c:v>2006</c:v>
                </c:pt>
                <c:pt idx="4">
                  <c:v>2007</c:v>
                </c:pt>
                <c:pt idx="5">
                  <c:v>2008</c:v>
                </c:pt>
                <c:pt idx="6">
                  <c:v>2009</c:v>
                </c:pt>
              </c:numCache>
            </c:numRef>
          </c:cat>
          <c:val>
            <c:numRef>
              <c:f>Adult_Alcohol_Dependence!$B$7:$H$7</c:f>
              <c:numCache>
                <c:formatCode>0.0</c:formatCode>
                <c:ptCount val="7"/>
                <c:pt idx="0">
                  <c:v>7.95</c:v>
                </c:pt>
                <c:pt idx="1">
                  <c:v>7.89</c:v>
                </c:pt>
                <c:pt idx="2">
                  <c:v>7.6099999999999985</c:v>
                </c:pt>
                <c:pt idx="3">
                  <c:v>7.23</c:v>
                </c:pt>
                <c:pt idx="4">
                  <c:v>7.4</c:v>
                </c:pt>
                <c:pt idx="5">
                  <c:v>7.1</c:v>
                </c:pt>
                <c:pt idx="6">
                  <c:v>7.01</c:v>
                </c:pt>
              </c:numCache>
            </c:numRef>
          </c:val>
          <c:smooth val="0"/>
        </c:ser>
        <c:ser>
          <c:idx val="1"/>
          <c:order val="1"/>
          <c:tx>
            <c:v>United States</c:v>
          </c:tx>
          <c:spPr>
            <a:ln>
              <a:solidFill>
                <a:srgbClr val="FAB037"/>
              </a:solidFill>
            </a:ln>
          </c:spPr>
          <c:marker>
            <c:symbol val="diamond"/>
            <c:size val="5"/>
            <c:spPr>
              <a:solidFill>
                <a:srgbClr val="FAB037"/>
              </a:solidFill>
            </c:spPr>
          </c:marker>
          <c:cat>
            <c:numRef>
              <c:f>Adult_Alcohol_Dependence!$B$6:$H$6</c:f>
              <c:numCache>
                <c:formatCode>General</c:formatCode>
                <c:ptCount val="7"/>
                <c:pt idx="0">
                  <c:v>2003</c:v>
                </c:pt>
                <c:pt idx="1">
                  <c:v>2004</c:v>
                </c:pt>
                <c:pt idx="2">
                  <c:v>2005</c:v>
                </c:pt>
                <c:pt idx="3">
                  <c:v>2006</c:v>
                </c:pt>
                <c:pt idx="4">
                  <c:v>2007</c:v>
                </c:pt>
                <c:pt idx="5">
                  <c:v>2008</c:v>
                </c:pt>
                <c:pt idx="6">
                  <c:v>2009</c:v>
                </c:pt>
              </c:numCache>
            </c:numRef>
          </c:cat>
          <c:val>
            <c:numRef>
              <c:f>Adult_Alcohol_Dependence!$B$8:$H$8</c:f>
              <c:numCache>
                <c:formatCode>0.0</c:formatCode>
                <c:ptCount val="7"/>
                <c:pt idx="0">
                  <c:v>7.59</c:v>
                </c:pt>
                <c:pt idx="1">
                  <c:v>7.6199999999999966</c:v>
                </c:pt>
                <c:pt idx="2">
                  <c:v>7.71</c:v>
                </c:pt>
                <c:pt idx="3">
                  <c:v>7.6599999999999975</c:v>
                </c:pt>
                <c:pt idx="4">
                  <c:v>7.58</c:v>
                </c:pt>
                <c:pt idx="5">
                  <c:v>7.4300000000000024</c:v>
                </c:pt>
                <c:pt idx="6">
                  <c:v>7.37</c:v>
                </c:pt>
              </c:numCache>
            </c:numRef>
          </c:val>
          <c:smooth val="0"/>
        </c:ser>
        <c:dLbls>
          <c:showLegendKey val="0"/>
          <c:showVal val="0"/>
          <c:showCatName val="0"/>
          <c:showSerName val="0"/>
          <c:showPercent val="0"/>
          <c:showBubbleSize val="0"/>
        </c:dLbls>
        <c:marker val="1"/>
        <c:smooth val="0"/>
        <c:axId val="122510336"/>
        <c:axId val="126363328"/>
      </c:lineChart>
      <c:catAx>
        <c:axId val="122510336"/>
        <c:scaling>
          <c:orientation val="minMax"/>
        </c:scaling>
        <c:delete val="0"/>
        <c:axPos val="b"/>
        <c:numFmt formatCode="General" sourceLinked="1"/>
        <c:majorTickMark val="none"/>
        <c:minorTickMark val="none"/>
        <c:tickLblPos val="nextTo"/>
        <c:crossAx val="126363328"/>
        <c:crosses val="autoZero"/>
        <c:auto val="1"/>
        <c:lblAlgn val="ctr"/>
        <c:lblOffset val="100"/>
        <c:noMultiLvlLbl val="0"/>
      </c:catAx>
      <c:valAx>
        <c:axId val="126363328"/>
        <c:scaling>
          <c:orientation val="minMax"/>
          <c:max val="10"/>
          <c:min val="0"/>
        </c:scaling>
        <c:delete val="0"/>
        <c:axPos val="l"/>
        <c:majorGridlines/>
        <c:title>
          <c:tx>
            <c:rich>
              <a:bodyPr/>
              <a:lstStyle/>
              <a:p>
                <a:pPr>
                  <a:defRPr b="0">
                    <a:latin typeface="Gill Sans MT" pitchFamily="34" charset="0"/>
                  </a:defRPr>
                </a:pPr>
                <a:r>
                  <a:rPr lang="en-US" b="0">
                    <a:latin typeface="Gill Sans MT" pitchFamily="34" charset="0"/>
                  </a:rPr>
                  <a:t>Percentage</a:t>
                </a:r>
              </a:p>
            </c:rich>
          </c:tx>
          <c:layout>
            <c:manualLayout>
              <c:xMode val="edge"/>
              <c:yMode val="edge"/>
              <c:x val="8.0937153625124131E-2"/>
              <c:y val="0.41330447438146189"/>
            </c:manualLayout>
          </c:layout>
          <c:overlay val="0"/>
        </c:title>
        <c:numFmt formatCode="#,##0" sourceLinked="0"/>
        <c:majorTickMark val="none"/>
        <c:minorTickMark val="none"/>
        <c:tickLblPos val="nextTo"/>
        <c:txPr>
          <a:bodyPr/>
          <a:lstStyle/>
          <a:p>
            <a:pPr>
              <a:defRPr>
                <a:latin typeface="Gill Sans MT" pitchFamily="34" charset="0"/>
              </a:defRPr>
            </a:pPr>
            <a:endParaRPr lang="en-US"/>
          </a:p>
        </c:txPr>
        <c:crossAx val="122510336"/>
        <c:crosses val="autoZero"/>
        <c:crossBetween val="between"/>
        <c:majorUnit val="2"/>
      </c:valAx>
      <c:dTable>
        <c:showHorzBorder val="1"/>
        <c:showVertBorder val="1"/>
        <c:showOutline val="1"/>
        <c:showKeys val="1"/>
        <c:txPr>
          <a:bodyPr/>
          <a:lstStyle/>
          <a:p>
            <a:pPr rtl="0">
              <a:defRPr>
                <a:latin typeface="Gill Sans MT" pitchFamily="34" charset="0"/>
              </a:defRPr>
            </a:pPr>
            <a:endParaRPr lang="en-US"/>
          </a:p>
        </c:txPr>
      </c:dTable>
    </c:plotArea>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sz="1000"/>
            </a:pPr>
            <a:r>
              <a:rPr lang="en-US" sz="1000">
                <a:latin typeface="Gill Sans MT" pitchFamily="34" charset="0"/>
              </a:rPr>
              <a:t>Percentage of Youth in Louisiana</a:t>
            </a:r>
            <a:r>
              <a:rPr lang="en-US" sz="1000" baseline="0">
                <a:latin typeface="Gill Sans MT" pitchFamily="34" charset="0"/>
              </a:rPr>
              <a:t> </a:t>
            </a:r>
            <a:r>
              <a:rPr lang="en-US" sz="1000">
                <a:latin typeface="Gill Sans MT" pitchFamily="34" charset="0"/>
              </a:rPr>
              <a:t>Indicating</a:t>
            </a:r>
            <a:r>
              <a:rPr lang="en-US" sz="1000" baseline="0">
                <a:latin typeface="Gill Sans MT" pitchFamily="34" charset="0"/>
              </a:rPr>
              <a:t> Cigarette Use In Past 30 Days by Grade</a:t>
            </a:r>
            <a:endParaRPr lang="en-US" sz="1000">
              <a:latin typeface="Gill Sans MT" pitchFamily="34" charset="0"/>
            </a:endParaRPr>
          </a:p>
        </c:rich>
      </c:tx>
      <c:layout>
        <c:manualLayout>
          <c:xMode val="edge"/>
          <c:yMode val="edge"/>
          <c:x val="0.10924136886735313"/>
          <c:y val="6.7466266866566746E-2"/>
        </c:manualLayout>
      </c:layout>
      <c:overlay val="0"/>
    </c:title>
    <c:autoTitleDeleted val="0"/>
    <c:plotArea>
      <c:layout>
        <c:manualLayout>
          <c:layoutTarget val="inner"/>
          <c:xMode val="edge"/>
          <c:yMode val="edge"/>
          <c:x val="0.19365384615384615"/>
          <c:y val="0.25916343009597564"/>
          <c:w val="0.78284188034188074"/>
          <c:h val="0.44444663821962377"/>
        </c:manualLayout>
      </c:layout>
      <c:lineChart>
        <c:grouping val="standard"/>
        <c:varyColors val="0"/>
        <c:ser>
          <c:idx val="0"/>
          <c:order val="0"/>
          <c:tx>
            <c:v>6th Grade</c:v>
          </c:tx>
          <c:spPr>
            <a:ln>
              <a:solidFill>
                <a:srgbClr val="0075B0"/>
              </a:solidFill>
            </a:ln>
          </c:spPr>
          <c:marker>
            <c:symbol val="diamond"/>
            <c:size val="6"/>
            <c:spPr>
              <a:solidFill>
                <a:srgbClr val="0075B0"/>
              </a:solidFill>
            </c:spPr>
          </c:marker>
          <c:cat>
            <c:numRef>
              <c:f>'Youth_Cigarette_Use-30-Day'!$Z$6:$AE$6</c:f>
              <c:numCache>
                <c:formatCode>General</c:formatCode>
                <c:ptCount val="6"/>
                <c:pt idx="0">
                  <c:v>2002</c:v>
                </c:pt>
                <c:pt idx="1">
                  <c:v>2004</c:v>
                </c:pt>
                <c:pt idx="2">
                  <c:v>2006</c:v>
                </c:pt>
                <c:pt idx="3">
                  <c:v>2008</c:v>
                </c:pt>
                <c:pt idx="4">
                  <c:v>2010</c:v>
                </c:pt>
                <c:pt idx="5">
                  <c:v>2012</c:v>
                </c:pt>
              </c:numCache>
            </c:numRef>
          </c:cat>
          <c:val>
            <c:numRef>
              <c:f>'Youth_Cigarette_Use-30-Day'!$B$71:$G$71</c:f>
              <c:numCache>
                <c:formatCode>0.0</c:formatCode>
                <c:ptCount val="6"/>
                <c:pt idx="0">
                  <c:v>5</c:v>
                </c:pt>
                <c:pt idx="1">
                  <c:v>4.3</c:v>
                </c:pt>
                <c:pt idx="2">
                  <c:v>3.1</c:v>
                </c:pt>
                <c:pt idx="3">
                  <c:v>3</c:v>
                </c:pt>
                <c:pt idx="4">
                  <c:v>2.2793921620901001</c:v>
                </c:pt>
                <c:pt idx="5">
                  <c:v>1.9631862286837904</c:v>
                </c:pt>
              </c:numCache>
            </c:numRef>
          </c:val>
          <c:smooth val="0"/>
        </c:ser>
        <c:ser>
          <c:idx val="1"/>
          <c:order val="1"/>
          <c:tx>
            <c:v>8th Grade</c:v>
          </c:tx>
          <c:spPr>
            <a:ln>
              <a:solidFill>
                <a:srgbClr val="FAB037"/>
              </a:solidFill>
            </a:ln>
          </c:spPr>
          <c:marker>
            <c:symbol val="diamond"/>
            <c:size val="6"/>
            <c:spPr>
              <a:solidFill>
                <a:srgbClr val="FAB037"/>
              </a:solidFill>
            </c:spPr>
          </c:marker>
          <c:cat>
            <c:numRef>
              <c:f>'Youth_Cigarette_Use-30-Day'!$Z$6:$AE$6</c:f>
              <c:numCache>
                <c:formatCode>General</c:formatCode>
                <c:ptCount val="6"/>
                <c:pt idx="0">
                  <c:v>2002</c:v>
                </c:pt>
                <c:pt idx="1">
                  <c:v>2004</c:v>
                </c:pt>
                <c:pt idx="2">
                  <c:v>2006</c:v>
                </c:pt>
                <c:pt idx="3">
                  <c:v>2008</c:v>
                </c:pt>
                <c:pt idx="4">
                  <c:v>2010</c:v>
                </c:pt>
                <c:pt idx="5">
                  <c:v>2012</c:v>
                </c:pt>
              </c:numCache>
            </c:numRef>
          </c:cat>
          <c:val>
            <c:numRef>
              <c:f>'Youth_Cigarette_Use-30-Day'!$J$71:$O$71</c:f>
              <c:numCache>
                <c:formatCode>0.0</c:formatCode>
                <c:ptCount val="6"/>
                <c:pt idx="0">
                  <c:v>14.6</c:v>
                </c:pt>
                <c:pt idx="1">
                  <c:v>12.4</c:v>
                </c:pt>
                <c:pt idx="2">
                  <c:v>8.8000000000000007</c:v>
                </c:pt>
                <c:pt idx="3">
                  <c:v>9</c:v>
                </c:pt>
                <c:pt idx="4">
                  <c:v>7.7512866295557084</c:v>
                </c:pt>
                <c:pt idx="5">
                  <c:v>6.0646900269541701</c:v>
                </c:pt>
              </c:numCache>
            </c:numRef>
          </c:val>
          <c:smooth val="0"/>
        </c:ser>
        <c:ser>
          <c:idx val="2"/>
          <c:order val="2"/>
          <c:tx>
            <c:v>10th Grade</c:v>
          </c:tx>
          <c:spPr>
            <a:ln>
              <a:solidFill>
                <a:srgbClr val="D65400"/>
              </a:solidFill>
            </a:ln>
          </c:spPr>
          <c:marker>
            <c:symbol val="diamond"/>
            <c:size val="6"/>
            <c:spPr>
              <a:solidFill>
                <a:srgbClr val="D65400"/>
              </a:solidFill>
            </c:spPr>
          </c:marker>
          <c:cat>
            <c:numRef>
              <c:f>'Youth_Cigarette_Use-30-Day'!$Z$6:$AE$6</c:f>
              <c:numCache>
                <c:formatCode>General</c:formatCode>
                <c:ptCount val="6"/>
                <c:pt idx="0">
                  <c:v>2002</c:v>
                </c:pt>
                <c:pt idx="1">
                  <c:v>2004</c:v>
                </c:pt>
                <c:pt idx="2">
                  <c:v>2006</c:v>
                </c:pt>
                <c:pt idx="3">
                  <c:v>2008</c:v>
                </c:pt>
                <c:pt idx="4">
                  <c:v>2010</c:v>
                </c:pt>
                <c:pt idx="5">
                  <c:v>2012</c:v>
                </c:pt>
              </c:numCache>
            </c:numRef>
          </c:cat>
          <c:val>
            <c:numRef>
              <c:f>'Youth_Cigarette_Use-30-Day'!$R$71:$W$71</c:f>
              <c:numCache>
                <c:formatCode>0.0</c:formatCode>
                <c:ptCount val="6"/>
                <c:pt idx="0">
                  <c:v>20.399999999999899</c:v>
                </c:pt>
                <c:pt idx="1">
                  <c:v>17.5</c:v>
                </c:pt>
                <c:pt idx="2">
                  <c:v>15</c:v>
                </c:pt>
                <c:pt idx="3">
                  <c:v>15.3</c:v>
                </c:pt>
                <c:pt idx="4">
                  <c:v>13.104848009594498</c:v>
                </c:pt>
                <c:pt idx="5">
                  <c:v>11.995003876302803</c:v>
                </c:pt>
              </c:numCache>
            </c:numRef>
          </c:val>
          <c:smooth val="0"/>
        </c:ser>
        <c:ser>
          <c:idx val="3"/>
          <c:order val="3"/>
          <c:tx>
            <c:v>12th Grade</c:v>
          </c:tx>
          <c:spPr>
            <a:ln>
              <a:solidFill>
                <a:srgbClr val="00457C"/>
              </a:solidFill>
            </a:ln>
          </c:spPr>
          <c:marker>
            <c:symbol val="diamond"/>
            <c:size val="6"/>
            <c:spPr>
              <a:solidFill>
                <a:srgbClr val="00457C"/>
              </a:solidFill>
            </c:spPr>
          </c:marker>
          <c:cat>
            <c:numRef>
              <c:f>'Youth_Cigarette_Use-30-Day'!$Z$6:$AE$6</c:f>
              <c:numCache>
                <c:formatCode>General</c:formatCode>
                <c:ptCount val="6"/>
                <c:pt idx="0">
                  <c:v>2002</c:v>
                </c:pt>
                <c:pt idx="1">
                  <c:v>2004</c:v>
                </c:pt>
                <c:pt idx="2">
                  <c:v>2006</c:v>
                </c:pt>
                <c:pt idx="3">
                  <c:v>2008</c:v>
                </c:pt>
                <c:pt idx="4">
                  <c:v>2010</c:v>
                </c:pt>
                <c:pt idx="5">
                  <c:v>2012</c:v>
                </c:pt>
              </c:numCache>
            </c:numRef>
          </c:cat>
          <c:val>
            <c:numRef>
              <c:f>'Youth_Cigarette_Use-30-Day'!$Z$71:$AE$71</c:f>
              <c:numCache>
                <c:formatCode>0.0</c:formatCode>
                <c:ptCount val="6"/>
                <c:pt idx="0">
                  <c:v>25.9</c:v>
                </c:pt>
                <c:pt idx="1">
                  <c:v>23.8</c:v>
                </c:pt>
                <c:pt idx="2">
                  <c:v>21.1</c:v>
                </c:pt>
                <c:pt idx="3">
                  <c:v>20.7</c:v>
                </c:pt>
                <c:pt idx="4">
                  <c:v>19.743150684931493</c:v>
                </c:pt>
                <c:pt idx="5">
                  <c:v>17.593005123635507</c:v>
                </c:pt>
              </c:numCache>
            </c:numRef>
          </c:val>
          <c:smooth val="0"/>
        </c:ser>
        <c:dLbls>
          <c:showLegendKey val="0"/>
          <c:showVal val="0"/>
          <c:showCatName val="0"/>
          <c:showSerName val="0"/>
          <c:showPercent val="0"/>
          <c:showBubbleSize val="0"/>
        </c:dLbls>
        <c:marker val="1"/>
        <c:smooth val="0"/>
        <c:axId val="123879936"/>
        <c:axId val="126365056"/>
      </c:lineChart>
      <c:catAx>
        <c:axId val="123879936"/>
        <c:scaling>
          <c:orientation val="minMax"/>
        </c:scaling>
        <c:delete val="0"/>
        <c:axPos val="b"/>
        <c:numFmt formatCode="General" sourceLinked="1"/>
        <c:majorTickMark val="none"/>
        <c:minorTickMark val="none"/>
        <c:tickLblPos val="nextTo"/>
        <c:crossAx val="126365056"/>
        <c:crosses val="autoZero"/>
        <c:auto val="1"/>
        <c:lblAlgn val="ctr"/>
        <c:lblOffset val="100"/>
        <c:noMultiLvlLbl val="0"/>
      </c:catAx>
      <c:valAx>
        <c:axId val="126365056"/>
        <c:scaling>
          <c:orientation val="minMax"/>
        </c:scaling>
        <c:delete val="0"/>
        <c:axPos val="l"/>
        <c:majorGridlines/>
        <c:title>
          <c:tx>
            <c:rich>
              <a:bodyPr/>
              <a:lstStyle/>
              <a:p>
                <a:pPr>
                  <a:defRPr b="0">
                    <a:latin typeface="Gill Sans MT" pitchFamily="34" charset="0"/>
                  </a:defRPr>
                </a:pPr>
                <a:r>
                  <a:rPr lang="en-US" b="0">
                    <a:latin typeface="Gill Sans MT" pitchFamily="34" charset="0"/>
                  </a:rPr>
                  <a:t>Percentage</a:t>
                </a:r>
              </a:p>
            </c:rich>
          </c:tx>
          <c:layout>
            <c:manualLayout>
              <c:xMode val="edge"/>
              <c:yMode val="edge"/>
              <c:x val="8.0423280423280424E-2"/>
              <c:y val="0.37406379881802082"/>
            </c:manualLayout>
          </c:layout>
          <c:overlay val="0"/>
        </c:title>
        <c:numFmt formatCode="0" sourceLinked="0"/>
        <c:majorTickMark val="none"/>
        <c:minorTickMark val="none"/>
        <c:tickLblPos val="nextTo"/>
        <c:txPr>
          <a:bodyPr/>
          <a:lstStyle/>
          <a:p>
            <a:pPr>
              <a:defRPr>
                <a:latin typeface="Gill Sans MT" pitchFamily="34" charset="0"/>
              </a:defRPr>
            </a:pPr>
            <a:endParaRPr lang="en-US"/>
          </a:p>
        </c:txPr>
        <c:crossAx val="123879936"/>
        <c:crosses val="autoZero"/>
        <c:crossBetween val="between"/>
        <c:majorUnit val="10"/>
      </c:valAx>
      <c:dTable>
        <c:showHorzBorder val="1"/>
        <c:showVertBorder val="1"/>
        <c:showOutline val="1"/>
        <c:showKeys val="1"/>
        <c:txPr>
          <a:bodyPr/>
          <a:lstStyle/>
          <a:p>
            <a:pPr rtl="0">
              <a:defRPr>
                <a:latin typeface="Gill Sans MT" pitchFamily="34" charset="0"/>
              </a:defRPr>
            </a:pPr>
            <a:endParaRPr lang="en-US"/>
          </a:p>
        </c:txPr>
      </c:dTable>
    </c:plotArea>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sz="1000"/>
            </a:pPr>
            <a:r>
              <a:rPr lang="en-US" sz="1000">
                <a:latin typeface="Gill Sans MT" pitchFamily="34" charset="0"/>
              </a:rPr>
              <a:t>Percentage of Youth</a:t>
            </a:r>
            <a:r>
              <a:rPr lang="en-US" sz="1000" baseline="0">
                <a:latin typeface="Gill Sans MT" pitchFamily="34" charset="0"/>
              </a:rPr>
              <a:t> in Louisiana Indicating Heavy Cigarette Use In Past 30 Days by Grade</a:t>
            </a:r>
            <a:endParaRPr lang="en-US" sz="1000">
              <a:latin typeface="Gill Sans MT" pitchFamily="34" charset="0"/>
            </a:endParaRPr>
          </a:p>
        </c:rich>
      </c:tx>
      <c:overlay val="0"/>
    </c:title>
    <c:autoTitleDeleted val="0"/>
    <c:plotArea>
      <c:layout/>
      <c:lineChart>
        <c:grouping val="standard"/>
        <c:varyColors val="0"/>
        <c:ser>
          <c:idx val="0"/>
          <c:order val="0"/>
          <c:tx>
            <c:v>6th Grade</c:v>
          </c:tx>
          <c:spPr>
            <a:ln>
              <a:solidFill>
                <a:srgbClr val="0075B0"/>
              </a:solidFill>
            </a:ln>
          </c:spPr>
          <c:marker>
            <c:symbol val="diamond"/>
            <c:size val="6"/>
            <c:spPr>
              <a:solidFill>
                <a:srgbClr val="0075B0"/>
              </a:solidFill>
            </c:spPr>
          </c:marker>
          <c:cat>
            <c:numRef>
              <c:f>Youth_Heavy_Cigarette_Use!$Z$6:$AE$6</c:f>
              <c:numCache>
                <c:formatCode>General</c:formatCode>
                <c:ptCount val="6"/>
                <c:pt idx="0">
                  <c:v>2002</c:v>
                </c:pt>
                <c:pt idx="1">
                  <c:v>2004</c:v>
                </c:pt>
                <c:pt idx="2">
                  <c:v>2006</c:v>
                </c:pt>
                <c:pt idx="3">
                  <c:v>2008</c:v>
                </c:pt>
                <c:pt idx="4">
                  <c:v>2010</c:v>
                </c:pt>
                <c:pt idx="5">
                  <c:v>2012</c:v>
                </c:pt>
              </c:numCache>
            </c:numRef>
          </c:cat>
          <c:val>
            <c:numRef>
              <c:f>Youth_Heavy_Cigarette_Use!$B$71:$G$71</c:f>
              <c:numCache>
                <c:formatCode>0.0</c:formatCode>
                <c:ptCount val="6"/>
                <c:pt idx="0">
                  <c:v>0.8</c:v>
                </c:pt>
                <c:pt idx="1">
                  <c:v>0.70000000000000018</c:v>
                </c:pt>
                <c:pt idx="2">
                  <c:v>0.4</c:v>
                </c:pt>
                <c:pt idx="3">
                  <c:v>0.4</c:v>
                </c:pt>
                <c:pt idx="4">
                  <c:v>0.29325513196480912</c:v>
                </c:pt>
                <c:pt idx="5">
                  <c:v>0.23854808033267708</c:v>
                </c:pt>
              </c:numCache>
            </c:numRef>
          </c:val>
          <c:smooth val="0"/>
        </c:ser>
        <c:ser>
          <c:idx val="1"/>
          <c:order val="1"/>
          <c:tx>
            <c:v>8th Grade</c:v>
          </c:tx>
          <c:spPr>
            <a:ln>
              <a:solidFill>
                <a:srgbClr val="FAB037"/>
              </a:solidFill>
            </a:ln>
          </c:spPr>
          <c:marker>
            <c:symbol val="diamond"/>
            <c:size val="6"/>
            <c:spPr>
              <a:solidFill>
                <a:srgbClr val="FAB037"/>
              </a:solidFill>
            </c:spPr>
          </c:marker>
          <c:cat>
            <c:numRef>
              <c:f>Youth_Heavy_Cigarette_Use!$Z$6:$AE$6</c:f>
              <c:numCache>
                <c:formatCode>General</c:formatCode>
                <c:ptCount val="6"/>
                <c:pt idx="0">
                  <c:v>2002</c:v>
                </c:pt>
                <c:pt idx="1">
                  <c:v>2004</c:v>
                </c:pt>
                <c:pt idx="2">
                  <c:v>2006</c:v>
                </c:pt>
                <c:pt idx="3">
                  <c:v>2008</c:v>
                </c:pt>
                <c:pt idx="4">
                  <c:v>2010</c:v>
                </c:pt>
                <c:pt idx="5">
                  <c:v>2012</c:v>
                </c:pt>
              </c:numCache>
            </c:numRef>
          </c:cat>
          <c:val>
            <c:numRef>
              <c:f>Youth_Heavy_Cigarette_Use!$J$71:$O$71</c:f>
              <c:numCache>
                <c:formatCode>0.0</c:formatCode>
                <c:ptCount val="6"/>
                <c:pt idx="0">
                  <c:v>2.8</c:v>
                </c:pt>
                <c:pt idx="1">
                  <c:v>2.2999999999999901</c:v>
                </c:pt>
                <c:pt idx="2">
                  <c:v>1.4</c:v>
                </c:pt>
                <c:pt idx="3">
                  <c:v>1.7</c:v>
                </c:pt>
                <c:pt idx="4">
                  <c:v>1.4284213843083695</c:v>
                </c:pt>
                <c:pt idx="5">
                  <c:v>0.98486419241136181</c:v>
                </c:pt>
              </c:numCache>
            </c:numRef>
          </c:val>
          <c:smooth val="0"/>
        </c:ser>
        <c:ser>
          <c:idx val="2"/>
          <c:order val="2"/>
          <c:tx>
            <c:v>10th Grade</c:v>
          </c:tx>
          <c:spPr>
            <a:ln>
              <a:solidFill>
                <a:srgbClr val="D65400"/>
              </a:solidFill>
            </a:ln>
          </c:spPr>
          <c:marker>
            <c:symbol val="diamond"/>
            <c:size val="6"/>
            <c:spPr>
              <a:solidFill>
                <a:srgbClr val="D65400"/>
              </a:solidFill>
            </c:spPr>
          </c:marker>
          <c:cat>
            <c:numRef>
              <c:f>Youth_Heavy_Cigarette_Use!$Z$6:$AE$6</c:f>
              <c:numCache>
                <c:formatCode>General</c:formatCode>
                <c:ptCount val="6"/>
                <c:pt idx="0">
                  <c:v>2002</c:v>
                </c:pt>
                <c:pt idx="1">
                  <c:v>2004</c:v>
                </c:pt>
                <c:pt idx="2">
                  <c:v>2006</c:v>
                </c:pt>
                <c:pt idx="3">
                  <c:v>2008</c:v>
                </c:pt>
                <c:pt idx="4">
                  <c:v>2010</c:v>
                </c:pt>
                <c:pt idx="5">
                  <c:v>2012</c:v>
                </c:pt>
              </c:numCache>
            </c:numRef>
          </c:cat>
          <c:val>
            <c:numRef>
              <c:f>Youth_Heavy_Cigarette_Use!$R$71:$W$71</c:f>
              <c:numCache>
                <c:formatCode>0.0</c:formatCode>
                <c:ptCount val="6"/>
                <c:pt idx="0">
                  <c:v>5.0999999999999899</c:v>
                </c:pt>
                <c:pt idx="1">
                  <c:v>4.2</c:v>
                </c:pt>
                <c:pt idx="2">
                  <c:v>3.2</c:v>
                </c:pt>
                <c:pt idx="3">
                  <c:v>3.3</c:v>
                </c:pt>
                <c:pt idx="4">
                  <c:v>2.82762120023986</c:v>
                </c:pt>
                <c:pt idx="5">
                  <c:v>2.3257817210784602</c:v>
                </c:pt>
              </c:numCache>
            </c:numRef>
          </c:val>
          <c:smooth val="0"/>
        </c:ser>
        <c:ser>
          <c:idx val="3"/>
          <c:order val="3"/>
          <c:tx>
            <c:v>12th Grade</c:v>
          </c:tx>
          <c:spPr>
            <a:ln>
              <a:solidFill>
                <a:srgbClr val="00457C"/>
              </a:solidFill>
            </a:ln>
          </c:spPr>
          <c:marker>
            <c:symbol val="diamond"/>
            <c:size val="5"/>
            <c:spPr>
              <a:solidFill>
                <a:srgbClr val="00457C"/>
              </a:solidFill>
            </c:spPr>
          </c:marker>
          <c:cat>
            <c:numRef>
              <c:f>Youth_Heavy_Cigarette_Use!$Z$6:$AE$6</c:f>
              <c:numCache>
                <c:formatCode>General</c:formatCode>
                <c:ptCount val="6"/>
                <c:pt idx="0">
                  <c:v>2002</c:v>
                </c:pt>
                <c:pt idx="1">
                  <c:v>2004</c:v>
                </c:pt>
                <c:pt idx="2">
                  <c:v>2006</c:v>
                </c:pt>
                <c:pt idx="3">
                  <c:v>2008</c:v>
                </c:pt>
                <c:pt idx="4">
                  <c:v>2010</c:v>
                </c:pt>
                <c:pt idx="5">
                  <c:v>2012</c:v>
                </c:pt>
              </c:numCache>
            </c:numRef>
          </c:cat>
          <c:val>
            <c:numRef>
              <c:f>Youth_Heavy_Cigarette_Use!$Z$71:$AE$71</c:f>
              <c:numCache>
                <c:formatCode>0.0</c:formatCode>
                <c:ptCount val="6"/>
                <c:pt idx="0">
                  <c:v>8.8000000000000007</c:v>
                </c:pt>
                <c:pt idx="1">
                  <c:v>7.5</c:v>
                </c:pt>
                <c:pt idx="2">
                  <c:v>6.3</c:v>
                </c:pt>
                <c:pt idx="3">
                  <c:v>6.1</c:v>
                </c:pt>
                <c:pt idx="4">
                  <c:v>5.7591324200913219</c:v>
                </c:pt>
                <c:pt idx="5">
                  <c:v>4.6112719982178598</c:v>
                </c:pt>
              </c:numCache>
            </c:numRef>
          </c:val>
          <c:smooth val="0"/>
        </c:ser>
        <c:dLbls>
          <c:showLegendKey val="0"/>
          <c:showVal val="0"/>
          <c:showCatName val="0"/>
          <c:showSerName val="0"/>
          <c:showPercent val="0"/>
          <c:showBubbleSize val="0"/>
        </c:dLbls>
        <c:marker val="1"/>
        <c:smooth val="0"/>
        <c:axId val="127853056"/>
        <c:axId val="126366784"/>
      </c:lineChart>
      <c:catAx>
        <c:axId val="127853056"/>
        <c:scaling>
          <c:orientation val="minMax"/>
        </c:scaling>
        <c:delete val="0"/>
        <c:axPos val="b"/>
        <c:numFmt formatCode="General" sourceLinked="1"/>
        <c:majorTickMark val="none"/>
        <c:minorTickMark val="none"/>
        <c:tickLblPos val="nextTo"/>
        <c:crossAx val="126366784"/>
        <c:crosses val="autoZero"/>
        <c:auto val="1"/>
        <c:lblAlgn val="ctr"/>
        <c:lblOffset val="100"/>
        <c:noMultiLvlLbl val="0"/>
      </c:catAx>
      <c:valAx>
        <c:axId val="126366784"/>
        <c:scaling>
          <c:orientation val="minMax"/>
        </c:scaling>
        <c:delete val="0"/>
        <c:axPos val="l"/>
        <c:majorGridlines/>
        <c:title>
          <c:tx>
            <c:rich>
              <a:bodyPr/>
              <a:lstStyle/>
              <a:p>
                <a:pPr>
                  <a:defRPr b="0">
                    <a:latin typeface="Gill Sans MT" pitchFamily="34" charset="0"/>
                  </a:defRPr>
                </a:pPr>
                <a:r>
                  <a:rPr lang="en-US" b="0">
                    <a:latin typeface="Gill Sans MT" pitchFamily="34" charset="0"/>
                  </a:rPr>
                  <a:t>Percentage</a:t>
                </a:r>
              </a:p>
            </c:rich>
          </c:tx>
          <c:layout>
            <c:manualLayout>
              <c:xMode val="edge"/>
              <c:yMode val="edge"/>
              <c:x val="6.7381316998468624E-2"/>
              <c:y val="0.38553561371630168"/>
            </c:manualLayout>
          </c:layout>
          <c:overlay val="0"/>
        </c:title>
        <c:numFmt formatCode="0" sourceLinked="0"/>
        <c:majorTickMark val="none"/>
        <c:minorTickMark val="none"/>
        <c:tickLblPos val="nextTo"/>
        <c:txPr>
          <a:bodyPr/>
          <a:lstStyle/>
          <a:p>
            <a:pPr>
              <a:defRPr>
                <a:latin typeface="Gill Sans MT" pitchFamily="34" charset="0"/>
              </a:defRPr>
            </a:pPr>
            <a:endParaRPr lang="en-US"/>
          </a:p>
        </c:txPr>
        <c:crossAx val="127853056"/>
        <c:crosses val="autoZero"/>
        <c:crossBetween val="between"/>
        <c:majorUnit val="2"/>
      </c:valAx>
      <c:dTable>
        <c:showHorzBorder val="1"/>
        <c:showVertBorder val="1"/>
        <c:showOutline val="1"/>
        <c:showKeys val="1"/>
        <c:txPr>
          <a:bodyPr/>
          <a:lstStyle/>
          <a:p>
            <a:pPr rtl="0">
              <a:defRPr>
                <a:latin typeface="Gill Sans MT" pitchFamily="34" charset="0"/>
              </a:defRPr>
            </a:pPr>
            <a:endParaRPr lang="en-US"/>
          </a:p>
        </c:txPr>
      </c:dTable>
    </c:plotArea>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sz="1000">
                <a:latin typeface="Gill Sans MT" pitchFamily="34" charset="0"/>
              </a:defRPr>
            </a:pPr>
            <a:r>
              <a:rPr lang="en-US" sz="1000">
                <a:latin typeface="Gill Sans MT" pitchFamily="34" charset="0"/>
              </a:rPr>
              <a:t>Percentage</a:t>
            </a:r>
            <a:r>
              <a:rPr lang="en-US" sz="1000" baseline="0">
                <a:latin typeface="Gill Sans MT" pitchFamily="34" charset="0"/>
              </a:rPr>
              <a:t> of Adults Reporting Heavy Cigarette Use, Louisiana vs. United States (2001-2011)</a:t>
            </a:r>
            <a:endParaRPr lang="en-US" sz="1000">
              <a:latin typeface="Gill Sans MT" pitchFamily="34" charset="0"/>
            </a:endParaRPr>
          </a:p>
        </c:rich>
      </c:tx>
      <c:overlay val="0"/>
    </c:title>
    <c:autoTitleDeleted val="0"/>
    <c:plotArea>
      <c:layout/>
      <c:lineChart>
        <c:grouping val="standard"/>
        <c:varyColors val="0"/>
        <c:ser>
          <c:idx val="0"/>
          <c:order val="0"/>
          <c:tx>
            <c:v>Louisiana</c:v>
          </c:tx>
          <c:spPr>
            <a:ln>
              <a:solidFill>
                <a:srgbClr val="0075B0"/>
              </a:solidFill>
            </a:ln>
          </c:spPr>
          <c:marker>
            <c:symbol val="diamond"/>
            <c:size val="6"/>
            <c:spPr>
              <a:solidFill>
                <a:srgbClr val="0075B0"/>
              </a:solidFill>
            </c:spPr>
          </c:marker>
          <c:cat>
            <c:numRef>
              <c:f>Adult_Heavy_Cigarette_Use!$B$7:$L$7</c:f>
              <c:numCache>
                <c:formatCode>General</c:formatCode>
                <c:ptCount val="11"/>
                <c:pt idx="0">
                  <c:v>2001</c:v>
                </c:pt>
                <c:pt idx="1">
                  <c:v>2002</c:v>
                </c:pt>
                <c:pt idx="2">
                  <c:v>2003</c:v>
                </c:pt>
                <c:pt idx="3">
                  <c:v>2004</c:v>
                </c:pt>
                <c:pt idx="4">
                  <c:v>2005</c:v>
                </c:pt>
                <c:pt idx="5">
                  <c:v>2006</c:v>
                </c:pt>
                <c:pt idx="6">
                  <c:v>2007</c:v>
                </c:pt>
                <c:pt idx="7">
                  <c:v>2008</c:v>
                </c:pt>
                <c:pt idx="8">
                  <c:v>2009</c:v>
                </c:pt>
                <c:pt idx="9">
                  <c:v>2010</c:v>
                </c:pt>
                <c:pt idx="10">
                  <c:v>2011</c:v>
                </c:pt>
              </c:numCache>
            </c:numRef>
          </c:cat>
          <c:val>
            <c:numRef>
              <c:f>Adult_Heavy_Cigarette_Use!$B$8:$L$8</c:f>
              <c:numCache>
                <c:formatCode>0.0</c:formatCode>
                <c:ptCount val="11"/>
                <c:pt idx="0">
                  <c:v>19</c:v>
                </c:pt>
                <c:pt idx="1">
                  <c:v>19</c:v>
                </c:pt>
                <c:pt idx="2">
                  <c:v>20.399999999999899</c:v>
                </c:pt>
                <c:pt idx="3">
                  <c:v>16.899999999999899</c:v>
                </c:pt>
                <c:pt idx="4">
                  <c:v>16.399999999999899</c:v>
                </c:pt>
                <c:pt idx="5">
                  <c:v>17.7</c:v>
                </c:pt>
                <c:pt idx="6">
                  <c:v>16.899999999999899</c:v>
                </c:pt>
                <c:pt idx="7">
                  <c:v>16</c:v>
                </c:pt>
                <c:pt idx="8">
                  <c:v>16.399999999999899</c:v>
                </c:pt>
                <c:pt idx="9">
                  <c:v>15.9</c:v>
                </c:pt>
                <c:pt idx="10">
                  <c:v>19.3</c:v>
                </c:pt>
              </c:numCache>
            </c:numRef>
          </c:val>
          <c:smooth val="0"/>
        </c:ser>
        <c:ser>
          <c:idx val="1"/>
          <c:order val="1"/>
          <c:tx>
            <c:v>United States</c:v>
          </c:tx>
          <c:spPr>
            <a:ln>
              <a:solidFill>
                <a:srgbClr val="FAB037"/>
              </a:solidFill>
            </a:ln>
          </c:spPr>
          <c:marker>
            <c:symbol val="diamond"/>
            <c:size val="6"/>
            <c:spPr>
              <a:solidFill>
                <a:srgbClr val="FAB037"/>
              </a:solidFill>
            </c:spPr>
          </c:marker>
          <c:cat>
            <c:numRef>
              <c:f>Adult_Heavy_Cigarette_Use!$B$7:$L$7</c:f>
              <c:numCache>
                <c:formatCode>General</c:formatCode>
                <c:ptCount val="11"/>
                <c:pt idx="0">
                  <c:v>2001</c:v>
                </c:pt>
                <c:pt idx="1">
                  <c:v>2002</c:v>
                </c:pt>
                <c:pt idx="2">
                  <c:v>2003</c:v>
                </c:pt>
                <c:pt idx="3">
                  <c:v>2004</c:v>
                </c:pt>
                <c:pt idx="4">
                  <c:v>2005</c:v>
                </c:pt>
                <c:pt idx="5">
                  <c:v>2006</c:v>
                </c:pt>
                <c:pt idx="6">
                  <c:v>2007</c:v>
                </c:pt>
                <c:pt idx="7">
                  <c:v>2008</c:v>
                </c:pt>
                <c:pt idx="8">
                  <c:v>2009</c:v>
                </c:pt>
                <c:pt idx="9">
                  <c:v>2010</c:v>
                </c:pt>
                <c:pt idx="10">
                  <c:v>2011</c:v>
                </c:pt>
              </c:numCache>
            </c:numRef>
          </c:cat>
          <c:val>
            <c:numRef>
              <c:f>Adult_Heavy_Cigarette_Use!$B$9:$L$9</c:f>
              <c:numCache>
                <c:formatCode>0.0</c:formatCode>
                <c:ptCount val="11"/>
                <c:pt idx="0">
                  <c:v>17.350000000000001</c:v>
                </c:pt>
                <c:pt idx="1">
                  <c:v>17.8</c:v>
                </c:pt>
                <c:pt idx="2">
                  <c:v>16.7</c:v>
                </c:pt>
                <c:pt idx="3">
                  <c:v>15.6</c:v>
                </c:pt>
                <c:pt idx="4">
                  <c:v>15.3</c:v>
                </c:pt>
                <c:pt idx="5">
                  <c:v>14.7</c:v>
                </c:pt>
                <c:pt idx="6">
                  <c:v>14.5</c:v>
                </c:pt>
                <c:pt idx="7">
                  <c:v>13.4</c:v>
                </c:pt>
                <c:pt idx="8">
                  <c:v>12.75</c:v>
                </c:pt>
                <c:pt idx="9">
                  <c:v>12.3</c:v>
                </c:pt>
                <c:pt idx="10">
                  <c:v>15.2</c:v>
                </c:pt>
              </c:numCache>
            </c:numRef>
          </c:val>
          <c:smooth val="0"/>
        </c:ser>
        <c:dLbls>
          <c:showLegendKey val="0"/>
          <c:showVal val="0"/>
          <c:showCatName val="0"/>
          <c:showSerName val="0"/>
          <c:showPercent val="0"/>
          <c:showBubbleSize val="0"/>
        </c:dLbls>
        <c:marker val="1"/>
        <c:smooth val="0"/>
        <c:axId val="126298624"/>
        <c:axId val="126368512"/>
      </c:lineChart>
      <c:catAx>
        <c:axId val="126298624"/>
        <c:scaling>
          <c:orientation val="minMax"/>
        </c:scaling>
        <c:delete val="0"/>
        <c:axPos val="b"/>
        <c:numFmt formatCode="General" sourceLinked="1"/>
        <c:majorTickMark val="none"/>
        <c:minorTickMark val="none"/>
        <c:tickLblPos val="nextTo"/>
        <c:crossAx val="126368512"/>
        <c:crosses val="autoZero"/>
        <c:auto val="1"/>
        <c:lblAlgn val="ctr"/>
        <c:lblOffset val="100"/>
        <c:noMultiLvlLbl val="0"/>
      </c:catAx>
      <c:valAx>
        <c:axId val="126368512"/>
        <c:scaling>
          <c:orientation val="minMax"/>
        </c:scaling>
        <c:delete val="0"/>
        <c:axPos val="l"/>
        <c:majorGridlines/>
        <c:title>
          <c:tx>
            <c:rich>
              <a:bodyPr/>
              <a:lstStyle/>
              <a:p>
                <a:pPr>
                  <a:defRPr b="0">
                    <a:latin typeface="Gill Sans MT" pitchFamily="34" charset="0"/>
                  </a:defRPr>
                </a:pPr>
                <a:r>
                  <a:rPr lang="en-US" b="0">
                    <a:latin typeface="Gill Sans MT" pitchFamily="34" charset="0"/>
                  </a:rPr>
                  <a:t>Percentage</a:t>
                </a:r>
              </a:p>
            </c:rich>
          </c:tx>
          <c:layout>
            <c:manualLayout>
              <c:xMode val="edge"/>
              <c:yMode val="edge"/>
              <c:x val="8.6021491503644229E-2"/>
              <c:y val="0.3993875303845611"/>
            </c:manualLayout>
          </c:layout>
          <c:overlay val="0"/>
        </c:title>
        <c:numFmt formatCode="0" sourceLinked="0"/>
        <c:majorTickMark val="none"/>
        <c:minorTickMark val="none"/>
        <c:tickLblPos val="nextTo"/>
        <c:txPr>
          <a:bodyPr/>
          <a:lstStyle/>
          <a:p>
            <a:pPr>
              <a:defRPr>
                <a:latin typeface="Gill Sans MT" pitchFamily="34" charset="0"/>
              </a:defRPr>
            </a:pPr>
            <a:endParaRPr lang="en-US"/>
          </a:p>
        </c:txPr>
        <c:crossAx val="126298624"/>
        <c:crosses val="autoZero"/>
        <c:crossBetween val="between"/>
      </c:valAx>
      <c:dTable>
        <c:showHorzBorder val="1"/>
        <c:showVertBorder val="1"/>
        <c:showOutline val="1"/>
        <c:showKeys val="1"/>
        <c:txPr>
          <a:bodyPr/>
          <a:lstStyle/>
          <a:p>
            <a:pPr rtl="0">
              <a:defRPr>
                <a:latin typeface="Gill Sans MT" pitchFamily="34" charset="0"/>
              </a:defRPr>
            </a:pPr>
            <a:endParaRPr lang="en-US"/>
          </a:p>
        </c:txPr>
      </c:dTable>
    </c:plotArea>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sz="1000"/>
            </a:pPr>
            <a:r>
              <a:rPr lang="en-US" sz="1000"/>
              <a:t>Percentage of Adults Indicating Current Cigarette Use, Louisiana vs. United States (2001-2011)</a:t>
            </a:r>
          </a:p>
        </c:rich>
      </c:tx>
      <c:overlay val="0"/>
    </c:title>
    <c:autoTitleDeleted val="0"/>
    <c:plotArea>
      <c:layout/>
      <c:lineChart>
        <c:grouping val="standard"/>
        <c:varyColors val="0"/>
        <c:ser>
          <c:idx val="0"/>
          <c:order val="0"/>
          <c:tx>
            <c:v>Louisiana</c:v>
          </c:tx>
          <c:spPr>
            <a:ln>
              <a:solidFill>
                <a:srgbClr val="0075B0"/>
              </a:solidFill>
            </a:ln>
          </c:spPr>
          <c:marker>
            <c:symbol val="diamond"/>
            <c:size val="6"/>
            <c:spPr>
              <a:solidFill>
                <a:srgbClr val="0075B0"/>
              </a:solidFill>
            </c:spPr>
          </c:marker>
          <c:cat>
            <c:numRef>
              <c:f>Adult_Current_Cigarette!$B$6:$L$6</c:f>
              <c:numCache>
                <c:formatCode>General</c:formatCode>
                <c:ptCount val="11"/>
                <c:pt idx="0">
                  <c:v>2001</c:v>
                </c:pt>
                <c:pt idx="1">
                  <c:v>2002</c:v>
                </c:pt>
                <c:pt idx="2">
                  <c:v>2003</c:v>
                </c:pt>
                <c:pt idx="3">
                  <c:v>2004</c:v>
                </c:pt>
                <c:pt idx="4">
                  <c:v>2005</c:v>
                </c:pt>
                <c:pt idx="5">
                  <c:v>2006</c:v>
                </c:pt>
                <c:pt idx="6">
                  <c:v>2007</c:v>
                </c:pt>
                <c:pt idx="7">
                  <c:v>2008</c:v>
                </c:pt>
                <c:pt idx="8">
                  <c:v>2009</c:v>
                </c:pt>
                <c:pt idx="9">
                  <c:v>2010</c:v>
                </c:pt>
                <c:pt idx="10">
                  <c:v>2011</c:v>
                </c:pt>
              </c:numCache>
            </c:numRef>
          </c:cat>
          <c:val>
            <c:numRef>
              <c:f>Adult_Current_Cigarette!$B$7:$L$7</c:f>
              <c:numCache>
                <c:formatCode>General</c:formatCode>
                <c:ptCount val="11"/>
                <c:pt idx="0">
                  <c:v>24.6</c:v>
                </c:pt>
                <c:pt idx="1">
                  <c:v>23.9</c:v>
                </c:pt>
                <c:pt idx="2">
                  <c:v>26.5</c:v>
                </c:pt>
                <c:pt idx="3">
                  <c:v>23.5</c:v>
                </c:pt>
                <c:pt idx="4">
                  <c:v>22.6</c:v>
                </c:pt>
                <c:pt idx="5">
                  <c:v>23.4</c:v>
                </c:pt>
                <c:pt idx="6">
                  <c:v>22.6</c:v>
                </c:pt>
                <c:pt idx="7">
                  <c:v>20.5</c:v>
                </c:pt>
                <c:pt idx="8">
                  <c:v>22.1</c:v>
                </c:pt>
                <c:pt idx="9">
                  <c:v>22.1</c:v>
                </c:pt>
                <c:pt idx="10">
                  <c:v>25.7</c:v>
                </c:pt>
              </c:numCache>
            </c:numRef>
          </c:val>
          <c:smooth val="0"/>
        </c:ser>
        <c:ser>
          <c:idx val="1"/>
          <c:order val="1"/>
          <c:tx>
            <c:v>United States</c:v>
          </c:tx>
          <c:spPr>
            <a:ln>
              <a:solidFill>
                <a:srgbClr val="FAB037"/>
              </a:solidFill>
            </a:ln>
          </c:spPr>
          <c:marker>
            <c:symbol val="diamond"/>
            <c:size val="6"/>
            <c:spPr>
              <a:solidFill>
                <a:srgbClr val="FAB037"/>
              </a:solidFill>
            </c:spPr>
          </c:marker>
          <c:cat>
            <c:numRef>
              <c:f>Adult_Current_Cigarette!$B$6:$L$6</c:f>
              <c:numCache>
                <c:formatCode>General</c:formatCode>
                <c:ptCount val="11"/>
                <c:pt idx="0">
                  <c:v>2001</c:v>
                </c:pt>
                <c:pt idx="1">
                  <c:v>2002</c:v>
                </c:pt>
                <c:pt idx="2">
                  <c:v>2003</c:v>
                </c:pt>
                <c:pt idx="3">
                  <c:v>2004</c:v>
                </c:pt>
                <c:pt idx="4">
                  <c:v>2005</c:v>
                </c:pt>
                <c:pt idx="5">
                  <c:v>2006</c:v>
                </c:pt>
                <c:pt idx="6">
                  <c:v>2007</c:v>
                </c:pt>
                <c:pt idx="7">
                  <c:v>2008</c:v>
                </c:pt>
                <c:pt idx="8">
                  <c:v>2009</c:v>
                </c:pt>
                <c:pt idx="9">
                  <c:v>2010</c:v>
                </c:pt>
                <c:pt idx="10">
                  <c:v>2011</c:v>
                </c:pt>
              </c:numCache>
            </c:numRef>
          </c:cat>
          <c:val>
            <c:numRef>
              <c:f>Adult_Current_Cigarette!$B$8:$L$8</c:f>
              <c:numCache>
                <c:formatCode>0.0</c:formatCode>
                <c:ptCount val="11"/>
                <c:pt idx="0">
                  <c:v>22.85</c:v>
                </c:pt>
                <c:pt idx="1">
                  <c:v>23.05</c:v>
                </c:pt>
                <c:pt idx="2">
                  <c:v>22</c:v>
                </c:pt>
                <c:pt idx="3">
                  <c:v>20.8</c:v>
                </c:pt>
                <c:pt idx="4">
                  <c:v>20.5</c:v>
                </c:pt>
                <c:pt idx="5">
                  <c:v>20</c:v>
                </c:pt>
                <c:pt idx="6">
                  <c:v>19.7</c:v>
                </c:pt>
                <c:pt idx="7">
                  <c:v>18.3</c:v>
                </c:pt>
                <c:pt idx="8">
                  <c:v>17.899999999999899</c:v>
                </c:pt>
                <c:pt idx="9">
                  <c:v>17.25</c:v>
                </c:pt>
                <c:pt idx="10">
                  <c:v>21.05</c:v>
                </c:pt>
              </c:numCache>
            </c:numRef>
          </c:val>
          <c:smooth val="0"/>
        </c:ser>
        <c:dLbls>
          <c:showLegendKey val="0"/>
          <c:showVal val="0"/>
          <c:showCatName val="0"/>
          <c:showSerName val="0"/>
          <c:showPercent val="0"/>
          <c:showBubbleSize val="0"/>
        </c:dLbls>
        <c:marker val="1"/>
        <c:smooth val="0"/>
        <c:axId val="127854080"/>
        <c:axId val="129368640"/>
      </c:lineChart>
      <c:catAx>
        <c:axId val="127854080"/>
        <c:scaling>
          <c:orientation val="minMax"/>
        </c:scaling>
        <c:delete val="0"/>
        <c:axPos val="b"/>
        <c:numFmt formatCode="General" sourceLinked="1"/>
        <c:majorTickMark val="none"/>
        <c:minorTickMark val="none"/>
        <c:tickLblPos val="nextTo"/>
        <c:crossAx val="129368640"/>
        <c:crosses val="autoZero"/>
        <c:auto val="1"/>
        <c:lblAlgn val="ctr"/>
        <c:lblOffset val="100"/>
        <c:noMultiLvlLbl val="0"/>
      </c:catAx>
      <c:valAx>
        <c:axId val="129368640"/>
        <c:scaling>
          <c:orientation val="minMax"/>
        </c:scaling>
        <c:delete val="0"/>
        <c:axPos val="l"/>
        <c:majorGridlines/>
        <c:title>
          <c:tx>
            <c:rich>
              <a:bodyPr/>
              <a:lstStyle/>
              <a:p>
                <a:pPr>
                  <a:defRPr b="0"/>
                </a:pPr>
                <a:r>
                  <a:rPr lang="en-US" b="0"/>
                  <a:t>Percentage</a:t>
                </a:r>
              </a:p>
            </c:rich>
          </c:tx>
          <c:layout>
            <c:manualLayout>
              <c:xMode val="edge"/>
              <c:yMode val="edge"/>
              <c:x val="7.8907435508345974E-2"/>
              <c:y val="0.41023495386253583"/>
            </c:manualLayout>
          </c:layout>
          <c:overlay val="0"/>
        </c:title>
        <c:numFmt formatCode="General" sourceLinked="1"/>
        <c:majorTickMark val="none"/>
        <c:minorTickMark val="none"/>
        <c:tickLblPos val="nextTo"/>
        <c:crossAx val="127854080"/>
        <c:crosses val="autoZero"/>
        <c:crossBetween val="between"/>
      </c:valAx>
      <c:dTable>
        <c:showHorzBorder val="1"/>
        <c:showVertBorder val="1"/>
        <c:showOutline val="1"/>
        <c:showKeys val="1"/>
      </c:dTable>
    </c:plotArea>
    <c:plotVisOnly val="1"/>
    <c:dispBlanksAs val="gap"/>
    <c:showDLblsOverMax val="0"/>
  </c:chart>
  <c:spPr>
    <a:ln>
      <a:noFill/>
    </a:ln>
  </c:spPr>
  <c:txPr>
    <a:bodyPr/>
    <a:lstStyle/>
    <a:p>
      <a:pPr>
        <a:defRPr>
          <a:latin typeface="Gill Sans MT" pitchFamily="34" charset="0"/>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sz="1000">
                <a:latin typeface="Gill Sans MT" pitchFamily="34" charset="0"/>
              </a:defRPr>
            </a:pPr>
            <a:r>
              <a:rPr lang="en-US" sz="1000">
                <a:latin typeface="Gill Sans MT" pitchFamily="34" charset="0"/>
              </a:rPr>
              <a:t>Rate</a:t>
            </a:r>
            <a:r>
              <a:rPr lang="en-US" sz="1000" baseline="0">
                <a:latin typeface="Gill Sans MT" pitchFamily="34" charset="0"/>
              </a:rPr>
              <a:t> of Lung Cancer Fatalities in Louisiana</a:t>
            </a:r>
            <a:endParaRPr lang="en-US" sz="1000">
              <a:latin typeface="Gill Sans MT" pitchFamily="34" charset="0"/>
            </a:endParaRPr>
          </a:p>
        </c:rich>
      </c:tx>
      <c:overlay val="0"/>
    </c:title>
    <c:autoTitleDeleted val="0"/>
    <c:plotArea>
      <c:layout/>
      <c:lineChart>
        <c:grouping val="standard"/>
        <c:varyColors val="0"/>
        <c:ser>
          <c:idx val="0"/>
          <c:order val="0"/>
          <c:tx>
            <c:v>Louisiana</c:v>
          </c:tx>
          <c:spPr>
            <a:ln>
              <a:solidFill>
                <a:srgbClr val="0075B0"/>
              </a:solidFill>
            </a:ln>
          </c:spPr>
          <c:marker>
            <c:symbol val="diamond"/>
            <c:size val="6"/>
            <c:spPr>
              <a:solidFill>
                <a:srgbClr val="0075B0"/>
              </a:solidFill>
            </c:spPr>
          </c:marker>
          <c:cat>
            <c:strRef>
              <c:f>Lung_Cancer_Fatalities!$B$7:$F$7</c:f>
              <c:strCache>
                <c:ptCount val="5"/>
                <c:pt idx="0">
                  <c:v>1999-2000</c:v>
                </c:pt>
                <c:pt idx="1">
                  <c:v>2001-2003</c:v>
                </c:pt>
                <c:pt idx="2">
                  <c:v>2004-2006</c:v>
                </c:pt>
                <c:pt idx="3">
                  <c:v>2007-2008</c:v>
                </c:pt>
                <c:pt idx="4">
                  <c:v>2009-2010</c:v>
                </c:pt>
              </c:strCache>
            </c:strRef>
          </c:cat>
          <c:val>
            <c:numRef>
              <c:f>Lung_Cancer_Fatalities!$B$72:$F$72</c:f>
              <c:numCache>
                <c:formatCode>0.0</c:formatCode>
                <c:ptCount val="5"/>
                <c:pt idx="0">
                  <c:v>62.108300000000042</c:v>
                </c:pt>
                <c:pt idx="1">
                  <c:v>63.819699999999997</c:v>
                </c:pt>
                <c:pt idx="2">
                  <c:v>63.267500000000013</c:v>
                </c:pt>
                <c:pt idx="3">
                  <c:v>59.928000000000011</c:v>
                </c:pt>
                <c:pt idx="4">
                  <c:v>60.062700000000042</c:v>
                </c:pt>
              </c:numCache>
            </c:numRef>
          </c:val>
          <c:smooth val="0"/>
        </c:ser>
        <c:dLbls>
          <c:showLegendKey val="0"/>
          <c:showVal val="0"/>
          <c:showCatName val="0"/>
          <c:showSerName val="0"/>
          <c:showPercent val="0"/>
          <c:showBubbleSize val="0"/>
        </c:dLbls>
        <c:marker val="1"/>
        <c:smooth val="0"/>
        <c:axId val="127854592"/>
        <c:axId val="129370368"/>
      </c:lineChart>
      <c:catAx>
        <c:axId val="127854592"/>
        <c:scaling>
          <c:orientation val="minMax"/>
        </c:scaling>
        <c:delete val="0"/>
        <c:axPos val="b"/>
        <c:majorTickMark val="none"/>
        <c:minorTickMark val="none"/>
        <c:tickLblPos val="nextTo"/>
        <c:crossAx val="129370368"/>
        <c:crosses val="autoZero"/>
        <c:auto val="1"/>
        <c:lblAlgn val="ctr"/>
        <c:lblOffset val="100"/>
        <c:noMultiLvlLbl val="0"/>
      </c:catAx>
      <c:valAx>
        <c:axId val="129370368"/>
        <c:scaling>
          <c:orientation val="minMax"/>
          <c:min val="0"/>
        </c:scaling>
        <c:delete val="0"/>
        <c:axPos val="l"/>
        <c:majorGridlines/>
        <c:title>
          <c:tx>
            <c:rich>
              <a:bodyPr/>
              <a:lstStyle/>
              <a:p>
                <a:pPr>
                  <a:defRPr b="0">
                    <a:latin typeface="Gill Sans MT" pitchFamily="34" charset="0"/>
                  </a:defRPr>
                </a:pPr>
                <a:r>
                  <a:rPr lang="en-US" b="0">
                    <a:latin typeface="Gill Sans MT" pitchFamily="34" charset="0"/>
                  </a:rPr>
                  <a:t>Rate Per 100,000 Population</a:t>
                </a:r>
              </a:p>
            </c:rich>
          </c:tx>
          <c:layout>
            <c:manualLayout>
              <c:xMode val="edge"/>
              <c:yMode val="edge"/>
              <c:x val="6.4444444444444512E-2"/>
              <c:y val="0.21316382327209099"/>
            </c:manualLayout>
          </c:layout>
          <c:overlay val="0"/>
        </c:title>
        <c:numFmt formatCode="General" sourceLinked="0"/>
        <c:majorTickMark val="none"/>
        <c:minorTickMark val="none"/>
        <c:tickLblPos val="nextTo"/>
        <c:txPr>
          <a:bodyPr/>
          <a:lstStyle/>
          <a:p>
            <a:pPr>
              <a:defRPr>
                <a:latin typeface="Gill Sans MT" pitchFamily="34" charset="0"/>
              </a:defRPr>
            </a:pPr>
            <a:endParaRPr lang="en-US"/>
          </a:p>
        </c:txPr>
        <c:crossAx val="127854592"/>
        <c:crosses val="autoZero"/>
        <c:crossBetween val="between"/>
      </c:valAx>
      <c:dTable>
        <c:showHorzBorder val="1"/>
        <c:showVertBorder val="1"/>
        <c:showOutline val="1"/>
        <c:showKeys val="1"/>
        <c:txPr>
          <a:bodyPr/>
          <a:lstStyle/>
          <a:p>
            <a:pPr rtl="0">
              <a:defRPr>
                <a:latin typeface="Gill Sans MT" pitchFamily="34" charset="0"/>
              </a:defRPr>
            </a:pPr>
            <a:endParaRPr lang="en-US"/>
          </a:p>
        </c:txPr>
      </c:dTable>
    </c:plotArea>
    <c:plotVisOnly val="1"/>
    <c:dispBlanksAs val="gap"/>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sz="1000">
                <a:latin typeface="Gill Sans MT" pitchFamily="34" charset="0"/>
              </a:defRPr>
            </a:pPr>
            <a:r>
              <a:rPr lang="en-US" sz="1000">
                <a:latin typeface="Gill Sans MT" pitchFamily="34" charset="0"/>
              </a:rPr>
              <a:t>Percentage of Youth in Louisiana</a:t>
            </a:r>
            <a:r>
              <a:rPr lang="en-US" sz="1000" baseline="0">
                <a:latin typeface="Gill Sans MT" pitchFamily="34" charset="0"/>
              </a:rPr>
              <a:t> Indicating Marijuana Use In Past 30 Days by Grade (2002-2012)</a:t>
            </a:r>
            <a:endParaRPr lang="en-US" sz="1000">
              <a:latin typeface="Gill Sans MT" pitchFamily="34" charset="0"/>
            </a:endParaRPr>
          </a:p>
        </c:rich>
      </c:tx>
      <c:overlay val="0"/>
    </c:title>
    <c:autoTitleDeleted val="0"/>
    <c:plotArea>
      <c:layout>
        <c:manualLayout>
          <c:layoutTarget val="inner"/>
          <c:xMode val="edge"/>
          <c:yMode val="edge"/>
          <c:x val="0.19178018166995878"/>
          <c:y val="0.2500311440003789"/>
          <c:w val="0.78473308598010183"/>
          <c:h val="0.28797089840420226"/>
        </c:manualLayout>
      </c:layout>
      <c:lineChart>
        <c:grouping val="standard"/>
        <c:varyColors val="0"/>
        <c:ser>
          <c:idx val="0"/>
          <c:order val="0"/>
          <c:tx>
            <c:v>6th Grade</c:v>
          </c:tx>
          <c:spPr>
            <a:ln>
              <a:solidFill>
                <a:srgbClr val="0075B0"/>
              </a:solidFill>
            </a:ln>
          </c:spPr>
          <c:marker>
            <c:symbol val="diamond"/>
            <c:size val="6"/>
            <c:spPr>
              <a:solidFill>
                <a:srgbClr val="0075B0"/>
              </a:solidFill>
            </c:spPr>
          </c:marker>
          <c:cat>
            <c:numRef>
              <c:f>'Youth Marijuana Use - 30-Day'!$B$7:$G$7</c:f>
              <c:numCache>
                <c:formatCode>General</c:formatCode>
                <c:ptCount val="6"/>
                <c:pt idx="0">
                  <c:v>2002</c:v>
                </c:pt>
                <c:pt idx="1">
                  <c:v>2004</c:v>
                </c:pt>
                <c:pt idx="2">
                  <c:v>2006</c:v>
                </c:pt>
                <c:pt idx="3">
                  <c:v>2008</c:v>
                </c:pt>
                <c:pt idx="4">
                  <c:v>2010</c:v>
                </c:pt>
                <c:pt idx="5">
                  <c:v>2012</c:v>
                </c:pt>
              </c:numCache>
            </c:numRef>
          </c:cat>
          <c:val>
            <c:numRef>
              <c:f>'Youth Marijuana Use - 30-Day'!$B$72:$G$72</c:f>
              <c:numCache>
                <c:formatCode>0.0</c:formatCode>
                <c:ptCount val="6"/>
                <c:pt idx="0">
                  <c:v>1.6</c:v>
                </c:pt>
                <c:pt idx="1">
                  <c:v>1.1000000000000001</c:v>
                </c:pt>
                <c:pt idx="2">
                  <c:v>0.6000000000000002</c:v>
                </c:pt>
                <c:pt idx="3">
                  <c:v>0.8</c:v>
                </c:pt>
                <c:pt idx="4">
                  <c:v>0.71986571114984721</c:v>
                </c:pt>
                <c:pt idx="5">
                  <c:v>0.69206329233382624</c:v>
                </c:pt>
              </c:numCache>
            </c:numRef>
          </c:val>
          <c:smooth val="0"/>
        </c:ser>
        <c:ser>
          <c:idx val="1"/>
          <c:order val="1"/>
          <c:tx>
            <c:v>8th Grade</c:v>
          </c:tx>
          <c:spPr>
            <a:ln>
              <a:solidFill>
                <a:srgbClr val="FAB037"/>
              </a:solidFill>
            </a:ln>
          </c:spPr>
          <c:marker>
            <c:symbol val="diamond"/>
            <c:size val="6"/>
            <c:spPr>
              <a:solidFill>
                <a:srgbClr val="FAB037"/>
              </a:solidFill>
            </c:spPr>
          </c:marker>
          <c:cat>
            <c:numRef>
              <c:f>'Youth Marijuana Use - 30-Day'!$B$7:$G$7</c:f>
              <c:numCache>
                <c:formatCode>General</c:formatCode>
                <c:ptCount val="6"/>
                <c:pt idx="0">
                  <c:v>2002</c:v>
                </c:pt>
                <c:pt idx="1">
                  <c:v>2004</c:v>
                </c:pt>
                <c:pt idx="2">
                  <c:v>2006</c:v>
                </c:pt>
                <c:pt idx="3">
                  <c:v>2008</c:v>
                </c:pt>
                <c:pt idx="4">
                  <c:v>2010</c:v>
                </c:pt>
                <c:pt idx="5">
                  <c:v>2012</c:v>
                </c:pt>
              </c:numCache>
            </c:numRef>
          </c:cat>
          <c:val>
            <c:numRef>
              <c:f>'Youth Marijuana Use - 30-Day'!$J$72:$O$72</c:f>
              <c:numCache>
                <c:formatCode>0.0</c:formatCode>
                <c:ptCount val="6"/>
                <c:pt idx="0">
                  <c:v>7.4</c:v>
                </c:pt>
                <c:pt idx="1">
                  <c:v>5.5</c:v>
                </c:pt>
                <c:pt idx="2">
                  <c:v>3.7</c:v>
                </c:pt>
                <c:pt idx="3">
                  <c:v>4.2</c:v>
                </c:pt>
                <c:pt idx="4">
                  <c:v>5.0569381468277284</c:v>
                </c:pt>
                <c:pt idx="5">
                  <c:v>4.5694080848604317</c:v>
                </c:pt>
              </c:numCache>
            </c:numRef>
          </c:val>
          <c:smooth val="0"/>
        </c:ser>
        <c:ser>
          <c:idx val="2"/>
          <c:order val="2"/>
          <c:tx>
            <c:v>10th Grade</c:v>
          </c:tx>
          <c:spPr>
            <a:ln>
              <a:solidFill>
                <a:srgbClr val="D65400"/>
              </a:solidFill>
            </a:ln>
          </c:spPr>
          <c:marker>
            <c:symbol val="diamond"/>
            <c:size val="6"/>
            <c:spPr>
              <a:solidFill>
                <a:srgbClr val="D65400"/>
              </a:solidFill>
            </c:spPr>
          </c:marker>
          <c:cat>
            <c:numRef>
              <c:f>'Youth Marijuana Use - 30-Day'!$B$7:$G$7</c:f>
              <c:numCache>
                <c:formatCode>General</c:formatCode>
                <c:ptCount val="6"/>
                <c:pt idx="0">
                  <c:v>2002</c:v>
                </c:pt>
                <c:pt idx="1">
                  <c:v>2004</c:v>
                </c:pt>
                <c:pt idx="2">
                  <c:v>2006</c:v>
                </c:pt>
                <c:pt idx="3">
                  <c:v>2008</c:v>
                </c:pt>
                <c:pt idx="4">
                  <c:v>2010</c:v>
                </c:pt>
                <c:pt idx="5">
                  <c:v>2012</c:v>
                </c:pt>
              </c:numCache>
            </c:numRef>
          </c:cat>
          <c:val>
            <c:numRef>
              <c:f>'Youth Marijuana Use - 30-Day'!$R$72:$W$72</c:f>
              <c:numCache>
                <c:formatCode>0.0</c:formatCode>
                <c:ptCount val="6"/>
                <c:pt idx="0">
                  <c:v>12.1</c:v>
                </c:pt>
                <c:pt idx="1">
                  <c:v>9.9</c:v>
                </c:pt>
                <c:pt idx="2">
                  <c:v>8.1</c:v>
                </c:pt>
                <c:pt idx="3">
                  <c:v>8.9</c:v>
                </c:pt>
                <c:pt idx="4">
                  <c:v>10.556823368325</c:v>
                </c:pt>
                <c:pt idx="5">
                  <c:v>11.269407950861604</c:v>
                </c:pt>
              </c:numCache>
            </c:numRef>
          </c:val>
          <c:smooth val="0"/>
        </c:ser>
        <c:ser>
          <c:idx val="3"/>
          <c:order val="3"/>
          <c:tx>
            <c:v>12th Grade</c:v>
          </c:tx>
          <c:spPr>
            <a:ln>
              <a:solidFill>
                <a:srgbClr val="00457C"/>
              </a:solidFill>
            </a:ln>
          </c:spPr>
          <c:marker>
            <c:symbol val="diamond"/>
            <c:size val="6"/>
            <c:spPr>
              <a:solidFill>
                <a:srgbClr val="00457C"/>
              </a:solidFill>
            </c:spPr>
          </c:marker>
          <c:cat>
            <c:numRef>
              <c:f>'Youth Marijuana Use - 30-Day'!$B$7:$G$7</c:f>
              <c:numCache>
                <c:formatCode>General</c:formatCode>
                <c:ptCount val="6"/>
                <c:pt idx="0">
                  <c:v>2002</c:v>
                </c:pt>
                <c:pt idx="1">
                  <c:v>2004</c:v>
                </c:pt>
                <c:pt idx="2">
                  <c:v>2006</c:v>
                </c:pt>
                <c:pt idx="3">
                  <c:v>2008</c:v>
                </c:pt>
                <c:pt idx="4">
                  <c:v>2010</c:v>
                </c:pt>
                <c:pt idx="5">
                  <c:v>2012</c:v>
                </c:pt>
              </c:numCache>
            </c:numRef>
          </c:cat>
          <c:val>
            <c:numRef>
              <c:f>'Youth Marijuana Use - 30-Day'!$Z$72:$AE$72</c:f>
              <c:numCache>
                <c:formatCode>0.0</c:formatCode>
                <c:ptCount val="6"/>
                <c:pt idx="0">
                  <c:v>15.5</c:v>
                </c:pt>
                <c:pt idx="1">
                  <c:v>13.5</c:v>
                </c:pt>
                <c:pt idx="2">
                  <c:v>11.4</c:v>
                </c:pt>
                <c:pt idx="3">
                  <c:v>11.2</c:v>
                </c:pt>
                <c:pt idx="4">
                  <c:v>14.593980692788204</c:v>
                </c:pt>
                <c:pt idx="5">
                  <c:v>15.399449035812607</c:v>
                </c:pt>
              </c:numCache>
            </c:numRef>
          </c:val>
          <c:smooth val="0"/>
        </c:ser>
        <c:dLbls>
          <c:showLegendKey val="0"/>
          <c:showVal val="0"/>
          <c:showCatName val="0"/>
          <c:showSerName val="0"/>
          <c:showPercent val="0"/>
          <c:showBubbleSize val="0"/>
        </c:dLbls>
        <c:marker val="1"/>
        <c:smooth val="0"/>
        <c:axId val="127855616"/>
        <c:axId val="129371520"/>
      </c:lineChart>
      <c:catAx>
        <c:axId val="127855616"/>
        <c:scaling>
          <c:orientation val="minMax"/>
        </c:scaling>
        <c:delete val="0"/>
        <c:axPos val="b"/>
        <c:numFmt formatCode="General" sourceLinked="1"/>
        <c:majorTickMark val="none"/>
        <c:minorTickMark val="none"/>
        <c:tickLblPos val="nextTo"/>
        <c:txPr>
          <a:bodyPr/>
          <a:lstStyle/>
          <a:p>
            <a:pPr>
              <a:defRPr>
                <a:latin typeface="Gill Sans MT" pitchFamily="34" charset="0"/>
              </a:defRPr>
            </a:pPr>
            <a:endParaRPr lang="en-US"/>
          </a:p>
        </c:txPr>
        <c:crossAx val="129371520"/>
        <c:crosses val="autoZero"/>
        <c:auto val="1"/>
        <c:lblAlgn val="ctr"/>
        <c:lblOffset val="100"/>
        <c:noMultiLvlLbl val="0"/>
      </c:catAx>
      <c:valAx>
        <c:axId val="129371520"/>
        <c:scaling>
          <c:orientation val="minMax"/>
          <c:max val="20"/>
        </c:scaling>
        <c:delete val="0"/>
        <c:axPos val="l"/>
        <c:majorGridlines/>
        <c:title>
          <c:tx>
            <c:rich>
              <a:bodyPr rot="-5400000" vert="horz"/>
              <a:lstStyle/>
              <a:p>
                <a:pPr>
                  <a:defRPr b="0">
                    <a:latin typeface="Gill Sans MT" pitchFamily="34" charset="0"/>
                  </a:defRPr>
                </a:pPr>
                <a:r>
                  <a:rPr lang="en-US" b="0">
                    <a:latin typeface="Gill Sans MT" pitchFamily="34" charset="0"/>
                  </a:rPr>
                  <a:t>Percentage</a:t>
                </a:r>
              </a:p>
            </c:rich>
          </c:tx>
          <c:layout>
            <c:manualLayout>
              <c:xMode val="edge"/>
              <c:yMode val="edge"/>
              <c:x val="8.0400221094683463E-2"/>
              <c:y val="0.3493688756686732"/>
            </c:manualLayout>
          </c:layout>
          <c:overlay val="0"/>
        </c:title>
        <c:numFmt formatCode="0" sourceLinked="0"/>
        <c:majorTickMark val="none"/>
        <c:minorTickMark val="none"/>
        <c:tickLblPos val="nextTo"/>
        <c:txPr>
          <a:bodyPr/>
          <a:lstStyle/>
          <a:p>
            <a:pPr>
              <a:defRPr>
                <a:latin typeface="Gill Sans MT" pitchFamily="34" charset="0"/>
              </a:defRPr>
            </a:pPr>
            <a:endParaRPr lang="en-US"/>
          </a:p>
        </c:txPr>
        <c:crossAx val="127855616"/>
        <c:crosses val="autoZero"/>
        <c:crossBetween val="between"/>
        <c:majorUnit val="5"/>
      </c:valAx>
      <c:dTable>
        <c:showHorzBorder val="1"/>
        <c:showVertBorder val="1"/>
        <c:showOutline val="1"/>
        <c:showKeys val="1"/>
      </c:dTable>
    </c:plotArea>
    <c:plotVisOnly val="1"/>
    <c:dispBlanksAs val="gap"/>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sz="1000"/>
            </a:pPr>
            <a:r>
              <a:rPr lang="en-US" sz="1000"/>
              <a:t>Percentage of Individuals Indicating Marijuana</a:t>
            </a:r>
            <a:r>
              <a:rPr lang="en-US" sz="1000" baseline="0"/>
              <a:t> Use In Past 30 Days, Louisiana vs. United States (2003-2009)</a:t>
            </a:r>
            <a:endParaRPr lang="en-US" sz="1000"/>
          </a:p>
        </c:rich>
      </c:tx>
      <c:overlay val="0"/>
    </c:title>
    <c:autoTitleDeleted val="0"/>
    <c:plotArea>
      <c:layout/>
      <c:lineChart>
        <c:grouping val="standard"/>
        <c:varyColors val="0"/>
        <c:ser>
          <c:idx val="0"/>
          <c:order val="0"/>
          <c:tx>
            <c:v>Louisiana</c:v>
          </c:tx>
          <c:spPr>
            <a:ln>
              <a:solidFill>
                <a:srgbClr val="0075B0"/>
              </a:solidFill>
            </a:ln>
          </c:spPr>
          <c:marker>
            <c:symbol val="diamond"/>
            <c:size val="6"/>
            <c:spPr>
              <a:solidFill>
                <a:srgbClr val="0075B0"/>
              </a:solidFill>
            </c:spPr>
          </c:marker>
          <c:cat>
            <c:numRef>
              <c:f>'Adult_30-Day_Marijuana_Use'!$B$6:$H$6</c:f>
              <c:numCache>
                <c:formatCode>General</c:formatCode>
                <c:ptCount val="7"/>
                <c:pt idx="0">
                  <c:v>2003</c:v>
                </c:pt>
                <c:pt idx="1">
                  <c:v>2004</c:v>
                </c:pt>
                <c:pt idx="2">
                  <c:v>2005</c:v>
                </c:pt>
                <c:pt idx="3">
                  <c:v>2006</c:v>
                </c:pt>
                <c:pt idx="4">
                  <c:v>2007</c:v>
                </c:pt>
                <c:pt idx="5">
                  <c:v>2008</c:v>
                </c:pt>
                <c:pt idx="6">
                  <c:v>2009</c:v>
                </c:pt>
              </c:numCache>
            </c:numRef>
          </c:cat>
          <c:val>
            <c:numRef>
              <c:f>'Adult_30-Day_Marijuana_Use'!$B$7:$H$7</c:f>
              <c:numCache>
                <c:formatCode>0.0</c:formatCode>
                <c:ptCount val="7"/>
                <c:pt idx="0">
                  <c:v>5.7700000000000014</c:v>
                </c:pt>
                <c:pt idx="1">
                  <c:v>5.25</c:v>
                </c:pt>
                <c:pt idx="2">
                  <c:v>5.54</c:v>
                </c:pt>
                <c:pt idx="3">
                  <c:v>5.55</c:v>
                </c:pt>
                <c:pt idx="4">
                  <c:v>5.4</c:v>
                </c:pt>
                <c:pt idx="5">
                  <c:v>5</c:v>
                </c:pt>
                <c:pt idx="6">
                  <c:v>5.1599999999999975</c:v>
                </c:pt>
              </c:numCache>
            </c:numRef>
          </c:val>
          <c:smooth val="0"/>
        </c:ser>
        <c:ser>
          <c:idx val="1"/>
          <c:order val="1"/>
          <c:tx>
            <c:v>United States</c:v>
          </c:tx>
          <c:spPr>
            <a:ln>
              <a:solidFill>
                <a:srgbClr val="FAB037"/>
              </a:solidFill>
            </a:ln>
          </c:spPr>
          <c:marker>
            <c:symbol val="diamond"/>
            <c:size val="6"/>
            <c:spPr>
              <a:solidFill>
                <a:srgbClr val="FAB037"/>
              </a:solidFill>
            </c:spPr>
          </c:marker>
          <c:cat>
            <c:numRef>
              <c:f>'Adult_30-Day_Marijuana_Use'!$B$6:$H$6</c:f>
              <c:numCache>
                <c:formatCode>General</c:formatCode>
                <c:ptCount val="7"/>
                <c:pt idx="0">
                  <c:v>2003</c:v>
                </c:pt>
                <c:pt idx="1">
                  <c:v>2004</c:v>
                </c:pt>
                <c:pt idx="2">
                  <c:v>2005</c:v>
                </c:pt>
                <c:pt idx="3">
                  <c:v>2006</c:v>
                </c:pt>
                <c:pt idx="4">
                  <c:v>2007</c:v>
                </c:pt>
                <c:pt idx="5">
                  <c:v>2008</c:v>
                </c:pt>
                <c:pt idx="6">
                  <c:v>2009</c:v>
                </c:pt>
              </c:numCache>
            </c:numRef>
          </c:cat>
          <c:val>
            <c:numRef>
              <c:f>'Adult_30-Day_Marijuana_Use'!$B$8:$H$8</c:f>
              <c:numCache>
                <c:formatCode>0.0</c:formatCode>
                <c:ptCount val="7"/>
                <c:pt idx="0">
                  <c:v>6.2</c:v>
                </c:pt>
                <c:pt idx="1">
                  <c:v>6.1099999999999985</c:v>
                </c:pt>
                <c:pt idx="2">
                  <c:v>6.04</c:v>
                </c:pt>
                <c:pt idx="3">
                  <c:v>6.02</c:v>
                </c:pt>
                <c:pt idx="4">
                  <c:v>5.9</c:v>
                </c:pt>
                <c:pt idx="5">
                  <c:v>5.96</c:v>
                </c:pt>
                <c:pt idx="6">
                  <c:v>6.3599999999999985</c:v>
                </c:pt>
              </c:numCache>
            </c:numRef>
          </c:val>
          <c:smooth val="0"/>
        </c:ser>
        <c:dLbls>
          <c:showLegendKey val="0"/>
          <c:showVal val="0"/>
          <c:showCatName val="0"/>
          <c:showSerName val="0"/>
          <c:showPercent val="0"/>
          <c:showBubbleSize val="0"/>
        </c:dLbls>
        <c:marker val="1"/>
        <c:smooth val="0"/>
        <c:axId val="127853568"/>
        <c:axId val="129372672"/>
      </c:lineChart>
      <c:catAx>
        <c:axId val="127853568"/>
        <c:scaling>
          <c:orientation val="minMax"/>
        </c:scaling>
        <c:delete val="0"/>
        <c:axPos val="b"/>
        <c:numFmt formatCode="General" sourceLinked="1"/>
        <c:majorTickMark val="none"/>
        <c:minorTickMark val="none"/>
        <c:tickLblPos val="nextTo"/>
        <c:crossAx val="129372672"/>
        <c:crosses val="autoZero"/>
        <c:auto val="1"/>
        <c:lblAlgn val="ctr"/>
        <c:lblOffset val="100"/>
        <c:noMultiLvlLbl val="0"/>
      </c:catAx>
      <c:valAx>
        <c:axId val="129372672"/>
        <c:scaling>
          <c:orientation val="minMax"/>
        </c:scaling>
        <c:delete val="0"/>
        <c:axPos val="l"/>
        <c:majorGridlines/>
        <c:title>
          <c:tx>
            <c:rich>
              <a:bodyPr/>
              <a:lstStyle/>
              <a:p>
                <a:pPr>
                  <a:defRPr b="0"/>
                </a:pPr>
                <a:r>
                  <a:rPr lang="en-US" b="0"/>
                  <a:t>Percentage</a:t>
                </a:r>
              </a:p>
            </c:rich>
          </c:tx>
          <c:overlay val="0"/>
        </c:title>
        <c:numFmt formatCode="0" sourceLinked="0"/>
        <c:majorTickMark val="none"/>
        <c:minorTickMark val="none"/>
        <c:tickLblPos val="nextTo"/>
        <c:crossAx val="127853568"/>
        <c:crosses val="autoZero"/>
        <c:crossBetween val="between"/>
      </c:valAx>
      <c:dTable>
        <c:showHorzBorder val="1"/>
        <c:showVertBorder val="1"/>
        <c:showOutline val="1"/>
        <c:showKeys val="1"/>
      </c:dTable>
    </c:plotArea>
    <c:plotVisOnly val="1"/>
    <c:dispBlanksAs val="gap"/>
    <c:showDLblsOverMax val="0"/>
  </c:chart>
  <c:spPr>
    <a:ln>
      <a:noFill/>
    </a:ln>
  </c:spPr>
  <c:txPr>
    <a:bodyPr/>
    <a:lstStyle/>
    <a:p>
      <a:pPr>
        <a:defRPr>
          <a:latin typeface="Gill Sans MT" pitchFamily="34" charset="0"/>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sz="1000"/>
            </a:pPr>
            <a:r>
              <a:rPr lang="en-US" sz="1000"/>
              <a:t>Percentage of Individuals Meeting</a:t>
            </a:r>
            <a:r>
              <a:rPr lang="en-US" sz="1000" baseline="0"/>
              <a:t> Criteria for Drug Dependence or Abuse, Louisiana vs. United States (2003-2009)</a:t>
            </a:r>
            <a:endParaRPr lang="en-US" sz="1000"/>
          </a:p>
        </c:rich>
      </c:tx>
      <c:overlay val="0"/>
    </c:title>
    <c:autoTitleDeleted val="0"/>
    <c:plotArea>
      <c:layout/>
      <c:lineChart>
        <c:grouping val="standard"/>
        <c:varyColors val="0"/>
        <c:ser>
          <c:idx val="0"/>
          <c:order val="0"/>
          <c:tx>
            <c:v>Louisiana</c:v>
          </c:tx>
          <c:spPr>
            <a:ln>
              <a:solidFill>
                <a:srgbClr val="0075B0"/>
              </a:solidFill>
            </a:ln>
          </c:spPr>
          <c:marker>
            <c:symbol val="diamond"/>
            <c:size val="6"/>
            <c:spPr>
              <a:solidFill>
                <a:srgbClr val="0075B0"/>
              </a:solidFill>
            </c:spPr>
          </c:marker>
          <c:cat>
            <c:numRef>
              <c:f>Adult_Drug_Dependence!$B$6:$H$6</c:f>
              <c:numCache>
                <c:formatCode>General</c:formatCode>
                <c:ptCount val="7"/>
                <c:pt idx="0">
                  <c:v>2003</c:v>
                </c:pt>
                <c:pt idx="1">
                  <c:v>2004</c:v>
                </c:pt>
                <c:pt idx="2">
                  <c:v>2005</c:v>
                </c:pt>
                <c:pt idx="3">
                  <c:v>2006</c:v>
                </c:pt>
                <c:pt idx="4">
                  <c:v>2007</c:v>
                </c:pt>
                <c:pt idx="5">
                  <c:v>2008</c:v>
                </c:pt>
                <c:pt idx="6">
                  <c:v>2009</c:v>
                </c:pt>
              </c:numCache>
            </c:numRef>
          </c:cat>
          <c:val>
            <c:numRef>
              <c:f>Adult_Drug_Dependence!$B$7:$H$7</c:f>
              <c:numCache>
                <c:formatCode>0.0</c:formatCode>
                <c:ptCount val="7"/>
                <c:pt idx="0">
                  <c:v>3.34</c:v>
                </c:pt>
                <c:pt idx="1">
                  <c:v>3.32</c:v>
                </c:pt>
                <c:pt idx="2">
                  <c:v>3.06</c:v>
                </c:pt>
                <c:pt idx="3">
                  <c:v>2.9</c:v>
                </c:pt>
                <c:pt idx="4">
                  <c:v>3.08</c:v>
                </c:pt>
                <c:pt idx="5">
                  <c:v>2.8499999999999988</c:v>
                </c:pt>
                <c:pt idx="6">
                  <c:v>2.9</c:v>
                </c:pt>
              </c:numCache>
            </c:numRef>
          </c:val>
          <c:smooth val="0"/>
        </c:ser>
        <c:ser>
          <c:idx val="1"/>
          <c:order val="1"/>
          <c:tx>
            <c:v>United States</c:v>
          </c:tx>
          <c:spPr>
            <a:ln>
              <a:solidFill>
                <a:srgbClr val="FAB037"/>
              </a:solidFill>
            </a:ln>
          </c:spPr>
          <c:marker>
            <c:symbol val="diamond"/>
            <c:size val="6"/>
            <c:spPr>
              <a:solidFill>
                <a:srgbClr val="FAB037"/>
              </a:solidFill>
            </c:spPr>
          </c:marker>
          <c:cat>
            <c:numRef>
              <c:f>Adult_Drug_Dependence!$B$6:$H$6</c:f>
              <c:numCache>
                <c:formatCode>General</c:formatCode>
                <c:ptCount val="7"/>
                <c:pt idx="0">
                  <c:v>2003</c:v>
                </c:pt>
                <c:pt idx="1">
                  <c:v>2004</c:v>
                </c:pt>
                <c:pt idx="2">
                  <c:v>2005</c:v>
                </c:pt>
                <c:pt idx="3">
                  <c:v>2006</c:v>
                </c:pt>
                <c:pt idx="4">
                  <c:v>2007</c:v>
                </c:pt>
                <c:pt idx="5">
                  <c:v>2008</c:v>
                </c:pt>
                <c:pt idx="6">
                  <c:v>2009</c:v>
                </c:pt>
              </c:numCache>
            </c:numRef>
          </c:cat>
          <c:val>
            <c:numRef>
              <c:f>Adult_Drug_Dependence!$B$8:$H$8</c:f>
              <c:numCache>
                <c:formatCode>0.0</c:formatCode>
                <c:ptCount val="7"/>
                <c:pt idx="0">
                  <c:v>2.9</c:v>
                </c:pt>
                <c:pt idx="1">
                  <c:v>2.96</c:v>
                </c:pt>
                <c:pt idx="2">
                  <c:v>2.92</c:v>
                </c:pt>
                <c:pt idx="3">
                  <c:v>2.8299999999999987</c:v>
                </c:pt>
                <c:pt idx="4">
                  <c:v>2.8</c:v>
                </c:pt>
                <c:pt idx="5">
                  <c:v>2.7800000000000002</c:v>
                </c:pt>
                <c:pt idx="6">
                  <c:v>2.8099999999999987</c:v>
                </c:pt>
              </c:numCache>
            </c:numRef>
          </c:val>
          <c:smooth val="0"/>
        </c:ser>
        <c:dLbls>
          <c:showLegendKey val="0"/>
          <c:showVal val="0"/>
          <c:showCatName val="0"/>
          <c:showSerName val="0"/>
          <c:showPercent val="0"/>
          <c:showBubbleSize val="0"/>
        </c:dLbls>
        <c:marker val="1"/>
        <c:smooth val="0"/>
        <c:axId val="129515520"/>
        <c:axId val="129374400"/>
      </c:lineChart>
      <c:catAx>
        <c:axId val="129515520"/>
        <c:scaling>
          <c:orientation val="minMax"/>
        </c:scaling>
        <c:delete val="0"/>
        <c:axPos val="b"/>
        <c:numFmt formatCode="General" sourceLinked="1"/>
        <c:majorTickMark val="none"/>
        <c:minorTickMark val="none"/>
        <c:tickLblPos val="nextTo"/>
        <c:crossAx val="129374400"/>
        <c:crosses val="autoZero"/>
        <c:auto val="1"/>
        <c:lblAlgn val="ctr"/>
        <c:lblOffset val="100"/>
        <c:noMultiLvlLbl val="0"/>
      </c:catAx>
      <c:valAx>
        <c:axId val="129374400"/>
        <c:scaling>
          <c:orientation val="minMax"/>
        </c:scaling>
        <c:delete val="0"/>
        <c:axPos val="l"/>
        <c:majorGridlines/>
        <c:title>
          <c:tx>
            <c:rich>
              <a:bodyPr/>
              <a:lstStyle/>
              <a:p>
                <a:pPr>
                  <a:defRPr b="0"/>
                </a:pPr>
                <a:r>
                  <a:rPr lang="en-US" b="0"/>
                  <a:t>Percentage</a:t>
                </a:r>
              </a:p>
            </c:rich>
          </c:tx>
          <c:layout>
            <c:manualLayout>
              <c:xMode val="edge"/>
              <c:yMode val="edge"/>
              <c:x val="9.4090648307515776E-2"/>
              <c:y val="0.41023505968387824"/>
            </c:manualLayout>
          </c:layout>
          <c:overlay val="0"/>
        </c:title>
        <c:numFmt formatCode="0" sourceLinked="0"/>
        <c:majorTickMark val="none"/>
        <c:minorTickMark val="none"/>
        <c:tickLblPos val="nextTo"/>
        <c:crossAx val="129515520"/>
        <c:crosses val="autoZero"/>
        <c:crossBetween val="between"/>
        <c:majorUnit val="1"/>
      </c:valAx>
      <c:dTable>
        <c:showHorzBorder val="1"/>
        <c:showVertBorder val="1"/>
        <c:showOutline val="1"/>
        <c:showKeys val="1"/>
      </c:dTable>
    </c:plotArea>
    <c:plotVisOnly val="1"/>
    <c:dispBlanksAs val="gap"/>
    <c:showDLblsOverMax val="0"/>
  </c:chart>
  <c:spPr>
    <a:ln>
      <a:noFill/>
    </a:ln>
  </c:spPr>
  <c:txPr>
    <a:bodyPr/>
    <a:lstStyle/>
    <a:p>
      <a:pPr>
        <a:defRPr>
          <a:latin typeface="Gill Sans MT"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sz="1000"/>
            </a:pPr>
            <a:r>
              <a:rPr lang="en-US" sz="1000"/>
              <a:t>Child</a:t>
            </a:r>
            <a:r>
              <a:rPr lang="en-US" sz="1000" baseline="0"/>
              <a:t> Poverty Rate, Louisiana vs. United States (2006-2011)</a:t>
            </a:r>
            <a:endParaRPr lang="en-US" sz="1000"/>
          </a:p>
        </c:rich>
      </c:tx>
      <c:layout/>
      <c:overlay val="0"/>
    </c:title>
    <c:autoTitleDeleted val="0"/>
    <c:plotArea>
      <c:layout/>
      <c:lineChart>
        <c:grouping val="standard"/>
        <c:varyColors val="0"/>
        <c:ser>
          <c:idx val="0"/>
          <c:order val="0"/>
          <c:tx>
            <c:v>Louisiana</c:v>
          </c:tx>
          <c:spPr>
            <a:ln>
              <a:solidFill>
                <a:srgbClr val="0075B0"/>
              </a:solidFill>
            </a:ln>
          </c:spPr>
          <c:marker>
            <c:symbol val="diamond"/>
            <c:size val="6"/>
            <c:spPr>
              <a:solidFill>
                <a:srgbClr val="0075B0"/>
              </a:solidFill>
            </c:spPr>
          </c:marker>
          <c:cat>
            <c:numRef>
              <c:f>'Child Poverty Rate'!$B$6:$G$6</c:f>
              <c:numCache>
                <c:formatCode>General</c:formatCode>
                <c:ptCount val="6"/>
                <c:pt idx="0">
                  <c:v>2006</c:v>
                </c:pt>
                <c:pt idx="1">
                  <c:v>2007</c:v>
                </c:pt>
                <c:pt idx="2">
                  <c:v>2008</c:v>
                </c:pt>
                <c:pt idx="3">
                  <c:v>2009</c:v>
                </c:pt>
                <c:pt idx="4">
                  <c:v>2010</c:v>
                </c:pt>
                <c:pt idx="5">
                  <c:v>2011</c:v>
                </c:pt>
              </c:numCache>
            </c:numRef>
          </c:cat>
          <c:val>
            <c:numRef>
              <c:f>'Child Poverty Rate'!$B$71:$G$71</c:f>
              <c:numCache>
                <c:formatCode>0.0</c:formatCode>
                <c:ptCount val="6"/>
                <c:pt idx="0">
                  <c:v>27.8</c:v>
                </c:pt>
                <c:pt idx="1">
                  <c:v>26.8</c:v>
                </c:pt>
                <c:pt idx="2">
                  <c:v>24.7</c:v>
                </c:pt>
                <c:pt idx="3">
                  <c:v>24.2</c:v>
                </c:pt>
                <c:pt idx="4">
                  <c:v>27.3</c:v>
                </c:pt>
                <c:pt idx="5">
                  <c:v>28.8</c:v>
                </c:pt>
              </c:numCache>
            </c:numRef>
          </c:val>
          <c:smooth val="0"/>
        </c:ser>
        <c:ser>
          <c:idx val="1"/>
          <c:order val="1"/>
          <c:tx>
            <c:v>United States</c:v>
          </c:tx>
          <c:spPr>
            <a:ln>
              <a:solidFill>
                <a:srgbClr val="FAB037"/>
              </a:solidFill>
            </a:ln>
          </c:spPr>
          <c:marker>
            <c:symbol val="diamond"/>
            <c:size val="6"/>
            <c:spPr>
              <a:solidFill>
                <a:srgbClr val="FAB037"/>
              </a:solidFill>
            </c:spPr>
          </c:marker>
          <c:cat>
            <c:numRef>
              <c:f>'Child Poverty Rate'!$B$6:$G$6</c:f>
              <c:numCache>
                <c:formatCode>General</c:formatCode>
                <c:ptCount val="6"/>
                <c:pt idx="0">
                  <c:v>2006</c:v>
                </c:pt>
                <c:pt idx="1">
                  <c:v>2007</c:v>
                </c:pt>
                <c:pt idx="2">
                  <c:v>2008</c:v>
                </c:pt>
                <c:pt idx="3">
                  <c:v>2009</c:v>
                </c:pt>
                <c:pt idx="4">
                  <c:v>2010</c:v>
                </c:pt>
                <c:pt idx="5">
                  <c:v>2011</c:v>
                </c:pt>
              </c:numCache>
            </c:numRef>
          </c:cat>
          <c:val>
            <c:numRef>
              <c:f>'Child Poverty Rate'!$B$72:$G$72</c:f>
              <c:numCache>
                <c:formatCode>0.0</c:formatCode>
                <c:ptCount val="6"/>
                <c:pt idx="0">
                  <c:v>18.3</c:v>
                </c:pt>
                <c:pt idx="1">
                  <c:v>18</c:v>
                </c:pt>
                <c:pt idx="2">
                  <c:v>18.2</c:v>
                </c:pt>
                <c:pt idx="3">
                  <c:v>20</c:v>
                </c:pt>
                <c:pt idx="4">
                  <c:v>21.6</c:v>
                </c:pt>
                <c:pt idx="5">
                  <c:v>22.5</c:v>
                </c:pt>
              </c:numCache>
            </c:numRef>
          </c:val>
          <c:smooth val="0"/>
        </c:ser>
        <c:dLbls>
          <c:showLegendKey val="0"/>
          <c:showVal val="0"/>
          <c:showCatName val="0"/>
          <c:showSerName val="0"/>
          <c:showPercent val="0"/>
          <c:showBubbleSize val="0"/>
        </c:dLbls>
        <c:marker val="1"/>
        <c:smooth val="0"/>
        <c:axId val="50298368"/>
        <c:axId val="50143232"/>
      </c:lineChart>
      <c:catAx>
        <c:axId val="50298368"/>
        <c:scaling>
          <c:orientation val="minMax"/>
        </c:scaling>
        <c:delete val="0"/>
        <c:axPos val="b"/>
        <c:numFmt formatCode="General" sourceLinked="1"/>
        <c:majorTickMark val="none"/>
        <c:minorTickMark val="none"/>
        <c:tickLblPos val="nextTo"/>
        <c:crossAx val="50143232"/>
        <c:crosses val="autoZero"/>
        <c:auto val="1"/>
        <c:lblAlgn val="ctr"/>
        <c:lblOffset val="100"/>
        <c:noMultiLvlLbl val="0"/>
      </c:catAx>
      <c:valAx>
        <c:axId val="50143232"/>
        <c:scaling>
          <c:orientation val="minMax"/>
        </c:scaling>
        <c:delete val="0"/>
        <c:axPos val="l"/>
        <c:majorGridlines/>
        <c:title>
          <c:tx>
            <c:rich>
              <a:bodyPr/>
              <a:lstStyle/>
              <a:p>
                <a:pPr>
                  <a:defRPr b="0"/>
                </a:pPr>
                <a:r>
                  <a:rPr lang="en-US" b="0"/>
                  <a:t>Percentage</a:t>
                </a:r>
              </a:p>
            </c:rich>
          </c:tx>
          <c:layout>
            <c:manualLayout>
              <c:xMode val="edge"/>
              <c:yMode val="edge"/>
              <c:x val="9.8434004474273237E-2"/>
              <c:y val="0.37393630880885742"/>
            </c:manualLayout>
          </c:layout>
          <c:overlay val="0"/>
        </c:title>
        <c:numFmt formatCode="0.0" sourceLinked="1"/>
        <c:majorTickMark val="none"/>
        <c:minorTickMark val="none"/>
        <c:tickLblPos val="nextTo"/>
        <c:crossAx val="50298368"/>
        <c:crosses val="autoZero"/>
        <c:crossBetween val="between"/>
        <c:majorUnit val="10"/>
      </c:valAx>
      <c:dTable>
        <c:showHorzBorder val="1"/>
        <c:showVertBorder val="1"/>
        <c:showOutline val="1"/>
        <c:showKeys val="1"/>
      </c:dTable>
    </c:plotArea>
    <c:plotVisOnly val="1"/>
    <c:dispBlanksAs val="gap"/>
    <c:showDLblsOverMax val="0"/>
  </c:chart>
  <c:spPr>
    <a:ln>
      <a:noFill/>
    </a:ln>
  </c:spPr>
  <c:txPr>
    <a:bodyPr/>
    <a:lstStyle/>
    <a:p>
      <a:pPr>
        <a:defRPr>
          <a:latin typeface="Gill Sans MT" pitchFamily="34" charset="0"/>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Students Grades 9-12 reported "feeling sad", Louisiana vs. United States (2007-2011)</a:t>
            </a:r>
          </a:p>
        </c:rich>
      </c:tx>
      <c:overlay val="0"/>
    </c:title>
    <c:autoTitleDeleted val="0"/>
    <c:plotArea>
      <c:layout/>
      <c:lineChart>
        <c:grouping val="standard"/>
        <c:varyColors val="0"/>
        <c:ser>
          <c:idx val="0"/>
          <c:order val="0"/>
          <c:tx>
            <c:strRef>
              <c:f>Sheet1!$B$7</c:f>
              <c:strCache>
                <c:ptCount val="1"/>
                <c:pt idx="0">
                  <c:v>LA-Est.</c:v>
                </c:pt>
              </c:strCache>
            </c:strRef>
          </c:tx>
          <c:spPr>
            <a:ln>
              <a:solidFill>
                <a:srgbClr val="0075B0"/>
              </a:solidFill>
            </a:ln>
          </c:spPr>
          <c:marker>
            <c:spPr>
              <a:solidFill>
                <a:srgbClr val="0075B0"/>
              </a:solidFill>
              <a:ln>
                <a:solidFill>
                  <a:srgbClr val="0075B0"/>
                </a:solidFill>
              </a:ln>
            </c:spPr>
          </c:marker>
          <c:cat>
            <c:numRef>
              <c:f>Sheet1!$C$6:$E$6</c:f>
              <c:numCache>
                <c:formatCode>General</c:formatCode>
                <c:ptCount val="3"/>
                <c:pt idx="0">
                  <c:v>2007</c:v>
                </c:pt>
                <c:pt idx="1">
                  <c:v>2009</c:v>
                </c:pt>
                <c:pt idx="2">
                  <c:v>2011</c:v>
                </c:pt>
              </c:numCache>
            </c:numRef>
          </c:cat>
          <c:val>
            <c:numRef>
              <c:f>Sheet1!$C$7:$E$7</c:f>
              <c:numCache>
                <c:formatCode>General</c:formatCode>
                <c:ptCount val="3"/>
                <c:pt idx="0">
                  <c:v>30.6</c:v>
                </c:pt>
                <c:pt idx="1">
                  <c:v>31.2</c:v>
                </c:pt>
                <c:pt idx="2">
                  <c:v>30.1</c:v>
                </c:pt>
              </c:numCache>
            </c:numRef>
          </c:val>
          <c:smooth val="0"/>
        </c:ser>
        <c:ser>
          <c:idx val="1"/>
          <c:order val="1"/>
          <c:tx>
            <c:strRef>
              <c:f>Sheet1!$B$8</c:f>
              <c:strCache>
                <c:ptCount val="1"/>
                <c:pt idx="0">
                  <c:v>US-Est.</c:v>
                </c:pt>
              </c:strCache>
            </c:strRef>
          </c:tx>
          <c:spPr>
            <a:ln>
              <a:solidFill>
                <a:srgbClr val="FAB037"/>
              </a:solidFill>
            </a:ln>
          </c:spPr>
          <c:marker>
            <c:symbol val="diamond"/>
            <c:size val="7"/>
            <c:spPr>
              <a:solidFill>
                <a:srgbClr val="FAB037"/>
              </a:solidFill>
              <a:ln>
                <a:solidFill>
                  <a:srgbClr val="FAB037"/>
                </a:solidFill>
              </a:ln>
            </c:spPr>
          </c:marker>
          <c:cat>
            <c:numRef>
              <c:f>Sheet1!$C$6:$E$6</c:f>
              <c:numCache>
                <c:formatCode>General</c:formatCode>
                <c:ptCount val="3"/>
                <c:pt idx="0">
                  <c:v>2007</c:v>
                </c:pt>
                <c:pt idx="1">
                  <c:v>2009</c:v>
                </c:pt>
                <c:pt idx="2">
                  <c:v>2011</c:v>
                </c:pt>
              </c:numCache>
            </c:numRef>
          </c:cat>
          <c:val>
            <c:numRef>
              <c:f>Sheet1!$C$8:$E$8</c:f>
              <c:numCache>
                <c:formatCode>General</c:formatCode>
                <c:ptCount val="3"/>
                <c:pt idx="0">
                  <c:v>28.5</c:v>
                </c:pt>
                <c:pt idx="1">
                  <c:v>26.1</c:v>
                </c:pt>
                <c:pt idx="2">
                  <c:v>28.5</c:v>
                </c:pt>
              </c:numCache>
            </c:numRef>
          </c:val>
          <c:smooth val="0"/>
        </c:ser>
        <c:dLbls>
          <c:showLegendKey val="0"/>
          <c:showVal val="0"/>
          <c:showCatName val="0"/>
          <c:showSerName val="0"/>
          <c:showPercent val="0"/>
          <c:showBubbleSize val="0"/>
        </c:dLbls>
        <c:marker val="1"/>
        <c:smooth val="0"/>
        <c:axId val="129519104"/>
        <c:axId val="140116544"/>
      </c:lineChart>
      <c:catAx>
        <c:axId val="129519104"/>
        <c:scaling>
          <c:orientation val="minMax"/>
        </c:scaling>
        <c:delete val="0"/>
        <c:axPos val="b"/>
        <c:numFmt formatCode="General" sourceLinked="1"/>
        <c:majorTickMark val="none"/>
        <c:minorTickMark val="none"/>
        <c:tickLblPos val="nextTo"/>
        <c:crossAx val="140116544"/>
        <c:crosses val="autoZero"/>
        <c:auto val="1"/>
        <c:lblAlgn val="ctr"/>
        <c:lblOffset val="100"/>
        <c:noMultiLvlLbl val="0"/>
      </c:catAx>
      <c:valAx>
        <c:axId val="140116544"/>
        <c:scaling>
          <c:orientation val="minMax"/>
          <c:min val="0"/>
        </c:scaling>
        <c:delete val="0"/>
        <c:axPos val="l"/>
        <c:majorGridlines/>
        <c:title>
          <c:tx>
            <c:rich>
              <a:bodyPr/>
              <a:lstStyle/>
              <a:p>
                <a:pPr>
                  <a:defRPr b="0"/>
                </a:pPr>
                <a:r>
                  <a:rPr lang="en-US" b="0"/>
                  <a:t>Percentage</a:t>
                </a:r>
              </a:p>
            </c:rich>
          </c:tx>
          <c:overlay val="0"/>
        </c:title>
        <c:numFmt formatCode="General" sourceLinked="1"/>
        <c:majorTickMark val="none"/>
        <c:minorTickMark val="none"/>
        <c:tickLblPos val="nextTo"/>
        <c:crossAx val="129519104"/>
        <c:crosses val="autoZero"/>
        <c:crossBetween val="between"/>
      </c:valAx>
      <c:dTable>
        <c:showHorzBorder val="1"/>
        <c:showVertBorder val="1"/>
        <c:showOutline val="1"/>
        <c:showKeys val="1"/>
      </c:dTable>
    </c:plotArea>
    <c:plotVisOnly val="1"/>
    <c:dispBlanksAs val="gap"/>
    <c:showDLblsOverMax val="0"/>
  </c:chart>
  <c:txPr>
    <a:bodyPr/>
    <a:lstStyle/>
    <a:p>
      <a:pPr>
        <a:defRPr>
          <a:latin typeface="Gill Sans MT" pitchFamily="34" charset="0"/>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Youth Depressive Symptoms, Louisiana (2004-2012)</a:t>
            </a:r>
          </a:p>
        </c:rich>
      </c:tx>
      <c:overlay val="0"/>
    </c:title>
    <c:autoTitleDeleted val="0"/>
    <c:plotArea>
      <c:layout/>
      <c:lineChart>
        <c:grouping val="standard"/>
        <c:varyColors val="0"/>
        <c:ser>
          <c:idx val="0"/>
          <c:order val="0"/>
          <c:tx>
            <c:strRef>
              <c:f>Sheet1!$B$8</c:f>
              <c:strCache>
                <c:ptCount val="1"/>
                <c:pt idx="0">
                  <c:v>6th Grade</c:v>
                </c:pt>
              </c:strCache>
            </c:strRef>
          </c:tx>
          <c:spPr>
            <a:ln>
              <a:solidFill>
                <a:srgbClr val="0075B0"/>
              </a:solidFill>
            </a:ln>
          </c:spPr>
          <c:marker>
            <c:spPr>
              <a:solidFill>
                <a:srgbClr val="0075B0"/>
              </a:solidFill>
              <a:ln>
                <a:solidFill>
                  <a:srgbClr val="0075B0"/>
                </a:solidFill>
              </a:ln>
            </c:spPr>
          </c:marker>
          <c:cat>
            <c:numRef>
              <c:f>Sheet1!$C$7:$G$7</c:f>
              <c:numCache>
                <c:formatCode>General</c:formatCode>
                <c:ptCount val="5"/>
                <c:pt idx="0">
                  <c:v>2004</c:v>
                </c:pt>
                <c:pt idx="1">
                  <c:v>2006</c:v>
                </c:pt>
                <c:pt idx="2">
                  <c:v>2008</c:v>
                </c:pt>
                <c:pt idx="3">
                  <c:v>2010</c:v>
                </c:pt>
                <c:pt idx="4">
                  <c:v>2012</c:v>
                </c:pt>
              </c:numCache>
            </c:numRef>
          </c:cat>
          <c:val>
            <c:numRef>
              <c:f>Sheet1!$C$8:$G$8</c:f>
              <c:numCache>
                <c:formatCode>0.0</c:formatCode>
                <c:ptCount val="5"/>
                <c:pt idx="0">
                  <c:v>3.6668011294876877</c:v>
                </c:pt>
                <c:pt idx="1">
                  <c:v>2.442683364315287</c:v>
                </c:pt>
                <c:pt idx="2">
                  <c:v>2.6967581524337669</c:v>
                </c:pt>
                <c:pt idx="3">
                  <c:v>2.3810280700638975</c:v>
                </c:pt>
                <c:pt idx="4">
                  <c:v>2.0882027309632187</c:v>
                </c:pt>
              </c:numCache>
            </c:numRef>
          </c:val>
          <c:smooth val="0"/>
        </c:ser>
        <c:ser>
          <c:idx val="1"/>
          <c:order val="1"/>
          <c:tx>
            <c:strRef>
              <c:f>Sheet1!$B$9</c:f>
              <c:strCache>
                <c:ptCount val="1"/>
                <c:pt idx="0">
                  <c:v>8th Grade</c:v>
                </c:pt>
              </c:strCache>
            </c:strRef>
          </c:tx>
          <c:spPr>
            <a:ln>
              <a:solidFill>
                <a:srgbClr val="FAB037"/>
              </a:solidFill>
            </a:ln>
          </c:spPr>
          <c:marker>
            <c:symbol val="diamond"/>
            <c:size val="7"/>
            <c:spPr>
              <a:solidFill>
                <a:srgbClr val="FAB037"/>
              </a:solidFill>
              <a:ln>
                <a:solidFill>
                  <a:srgbClr val="FAB037"/>
                </a:solidFill>
              </a:ln>
            </c:spPr>
          </c:marker>
          <c:cat>
            <c:numRef>
              <c:f>Sheet1!$C$7:$G$7</c:f>
              <c:numCache>
                <c:formatCode>General</c:formatCode>
                <c:ptCount val="5"/>
                <c:pt idx="0">
                  <c:v>2004</c:v>
                </c:pt>
                <c:pt idx="1">
                  <c:v>2006</c:v>
                </c:pt>
                <c:pt idx="2">
                  <c:v>2008</c:v>
                </c:pt>
                <c:pt idx="3">
                  <c:v>2010</c:v>
                </c:pt>
                <c:pt idx="4">
                  <c:v>2012</c:v>
                </c:pt>
              </c:numCache>
            </c:numRef>
          </c:cat>
          <c:val>
            <c:numRef>
              <c:f>Sheet1!$C$9:$G$9</c:f>
              <c:numCache>
                <c:formatCode>0.0</c:formatCode>
                <c:ptCount val="5"/>
                <c:pt idx="0">
                  <c:v>5.4091984442038576</c:v>
                </c:pt>
                <c:pt idx="1">
                  <c:v>4</c:v>
                </c:pt>
                <c:pt idx="2">
                  <c:v>4.3</c:v>
                </c:pt>
                <c:pt idx="3">
                  <c:v>4.3645347241284602</c:v>
                </c:pt>
                <c:pt idx="4">
                  <c:v>3.5318977661501201</c:v>
                </c:pt>
              </c:numCache>
            </c:numRef>
          </c:val>
          <c:smooth val="0"/>
        </c:ser>
        <c:ser>
          <c:idx val="2"/>
          <c:order val="2"/>
          <c:tx>
            <c:strRef>
              <c:f>Sheet1!$B$10</c:f>
              <c:strCache>
                <c:ptCount val="1"/>
                <c:pt idx="0">
                  <c:v>10th Grade</c:v>
                </c:pt>
              </c:strCache>
            </c:strRef>
          </c:tx>
          <c:spPr>
            <a:ln>
              <a:solidFill>
                <a:srgbClr val="D65400"/>
              </a:solidFill>
            </a:ln>
          </c:spPr>
          <c:marker>
            <c:symbol val="diamond"/>
            <c:size val="7"/>
            <c:spPr>
              <a:solidFill>
                <a:srgbClr val="D65400"/>
              </a:solidFill>
              <a:ln>
                <a:solidFill>
                  <a:srgbClr val="D65400"/>
                </a:solidFill>
              </a:ln>
            </c:spPr>
          </c:marker>
          <c:cat>
            <c:numRef>
              <c:f>Sheet1!$C$7:$G$7</c:f>
              <c:numCache>
                <c:formatCode>General</c:formatCode>
                <c:ptCount val="5"/>
                <c:pt idx="0">
                  <c:v>2004</c:v>
                </c:pt>
                <c:pt idx="1">
                  <c:v>2006</c:v>
                </c:pt>
                <c:pt idx="2">
                  <c:v>2008</c:v>
                </c:pt>
                <c:pt idx="3">
                  <c:v>2010</c:v>
                </c:pt>
                <c:pt idx="4">
                  <c:v>2012</c:v>
                </c:pt>
              </c:numCache>
            </c:numRef>
          </c:cat>
          <c:val>
            <c:numRef>
              <c:f>Sheet1!$C$10:$G$10</c:f>
              <c:numCache>
                <c:formatCode>0.0</c:formatCode>
                <c:ptCount val="5"/>
                <c:pt idx="0">
                  <c:v>4.8508230452674796</c:v>
                </c:pt>
                <c:pt idx="1">
                  <c:v>4.0999999999999899</c:v>
                </c:pt>
                <c:pt idx="2">
                  <c:v>3.7</c:v>
                </c:pt>
                <c:pt idx="3">
                  <c:v>4.2570389330459255</c:v>
                </c:pt>
                <c:pt idx="4">
                  <c:v>3.0607948804311227</c:v>
                </c:pt>
              </c:numCache>
            </c:numRef>
          </c:val>
          <c:smooth val="0"/>
        </c:ser>
        <c:ser>
          <c:idx val="3"/>
          <c:order val="3"/>
          <c:tx>
            <c:strRef>
              <c:f>Sheet1!$B$11</c:f>
              <c:strCache>
                <c:ptCount val="1"/>
                <c:pt idx="0">
                  <c:v>12th Grade</c:v>
                </c:pt>
              </c:strCache>
            </c:strRef>
          </c:tx>
          <c:spPr>
            <a:ln>
              <a:solidFill>
                <a:srgbClr val="00457C"/>
              </a:solidFill>
            </a:ln>
          </c:spPr>
          <c:marker>
            <c:symbol val="diamond"/>
            <c:size val="7"/>
            <c:spPr>
              <a:solidFill>
                <a:srgbClr val="00457C"/>
              </a:solidFill>
              <a:ln>
                <a:solidFill>
                  <a:srgbClr val="00457C"/>
                </a:solidFill>
              </a:ln>
            </c:spPr>
          </c:marker>
          <c:cat>
            <c:numRef>
              <c:f>Sheet1!$C$7:$G$7</c:f>
              <c:numCache>
                <c:formatCode>General</c:formatCode>
                <c:ptCount val="5"/>
                <c:pt idx="0">
                  <c:v>2004</c:v>
                </c:pt>
                <c:pt idx="1">
                  <c:v>2006</c:v>
                </c:pt>
                <c:pt idx="2">
                  <c:v>2008</c:v>
                </c:pt>
                <c:pt idx="3">
                  <c:v>2010</c:v>
                </c:pt>
                <c:pt idx="4">
                  <c:v>2012</c:v>
                </c:pt>
              </c:numCache>
            </c:numRef>
          </c:cat>
          <c:val>
            <c:numRef>
              <c:f>Sheet1!$C$11:$G$11</c:f>
              <c:numCache>
                <c:formatCode>0.0</c:formatCode>
                <c:ptCount val="5"/>
                <c:pt idx="0">
                  <c:v>3.1221303948576602</c:v>
                </c:pt>
                <c:pt idx="1">
                  <c:v>2.7</c:v>
                </c:pt>
                <c:pt idx="2">
                  <c:v>2.5</c:v>
                </c:pt>
                <c:pt idx="3">
                  <c:v>2.4032267099882301</c:v>
                </c:pt>
                <c:pt idx="4">
                  <c:v>1.9449561165890001</c:v>
                </c:pt>
              </c:numCache>
            </c:numRef>
          </c:val>
          <c:smooth val="0"/>
        </c:ser>
        <c:dLbls>
          <c:showLegendKey val="0"/>
          <c:showVal val="0"/>
          <c:showCatName val="0"/>
          <c:showSerName val="0"/>
          <c:showPercent val="0"/>
          <c:showBubbleSize val="0"/>
        </c:dLbls>
        <c:marker val="1"/>
        <c:smooth val="0"/>
        <c:axId val="139867648"/>
        <c:axId val="140118272"/>
      </c:lineChart>
      <c:catAx>
        <c:axId val="139867648"/>
        <c:scaling>
          <c:orientation val="minMax"/>
        </c:scaling>
        <c:delete val="0"/>
        <c:axPos val="b"/>
        <c:numFmt formatCode="General" sourceLinked="1"/>
        <c:majorTickMark val="none"/>
        <c:minorTickMark val="none"/>
        <c:tickLblPos val="nextTo"/>
        <c:crossAx val="140118272"/>
        <c:crosses val="autoZero"/>
        <c:auto val="1"/>
        <c:lblAlgn val="ctr"/>
        <c:lblOffset val="100"/>
        <c:noMultiLvlLbl val="0"/>
      </c:catAx>
      <c:valAx>
        <c:axId val="140118272"/>
        <c:scaling>
          <c:orientation val="minMax"/>
        </c:scaling>
        <c:delete val="0"/>
        <c:axPos val="l"/>
        <c:majorGridlines/>
        <c:title>
          <c:tx>
            <c:rich>
              <a:bodyPr/>
              <a:lstStyle/>
              <a:p>
                <a:pPr>
                  <a:defRPr b="0"/>
                </a:pPr>
                <a:r>
                  <a:rPr lang="en-US" b="0"/>
                  <a:t>Percentage</a:t>
                </a:r>
              </a:p>
            </c:rich>
          </c:tx>
          <c:overlay val="0"/>
        </c:title>
        <c:numFmt formatCode="0" sourceLinked="0"/>
        <c:majorTickMark val="none"/>
        <c:minorTickMark val="none"/>
        <c:tickLblPos val="nextTo"/>
        <c:crossAx val="139867648"/>
        <c:crosses val="autoZero"/>
        <c:crossBetween val="between"/>
      </c:valAx>
      <c:dTable>
        <c:showHorzBorder val="1"/>
        <c:showVertBorder val="1"/>
        <c:showOutline val="1"/>
        <c:showKeys val="1"/>
      </c:dTable>
    </c:plotArea>
    <c:plotVisOnly val="1"/>
    <c:dispBlanksAs val="gap"/>
    <c:showDLblsOverMax val="0"/>
  </c:chart>
  <c:txPr>
    <a:bodyPr/>
    <a:lstStyle/>
    <a:p>
      <a:pPr>
        <a:defRPr>
          <a:latin typeface="Gill Sans MT" pitchFamily="34" charset="0"/>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Adult Depressive Episodes, Louisiana vs. United States (2006-2011)</a:t>
            </a:r>
          </a:p>
        </c:rich>
      </c:tx>
      <c:overlay val="0"/>
    </c:title>
    <c:autoTitleDeleted val="0"/>
    <c:plotArea>
      <c:layout/>
      <c:lineChart>
        <c:grouping val="standard"/>
        <c:varyColors val="0"/>
        <c:ser>
          <c:idx val="0"/>
          <c:order val="0"/>
          <c:tx>
            <c:strRef>
              <c:f>Adult_Major_Depressive_Episode!$A$9</c:f>
              <c:strCache>
                <c:ptCount val="1"/>
                <c:pt idx="0">
                  <c:v>Louisiana</c:v>
                </c:pt>
              </c:strCache>
            </c:strRef>
          </c:tx>
          <c:spPr>
            <a:ln>
              <a:solidFill>
                <a:srgbClr val="0075B0"/>
              </a:solidFill>
            </a:ln>
          </c:spPr>
          <c:cat>
            <c:numRef>
              <c:f>Adult_Major_Depressive_Episode!$B$8:$G$8</c:f>
              <c:numCache>
                <c:formatCode>General</c:formatCode>
                <c:ptCount val="6"/>
                <c:pt idx="0">
                  <c:v>2006</c:v>
                </c:pt>
                <c:pt idx="1">
                  <c:v>2007</c:v>
                </c:pt>
                <c:pt idx="2">
                  <c:v>2008</c:v>
                </c:pt>
                <c:pt idx="3">
                  <c:v>2009</c:v>
                </c:pt>
                <c:pt idx="4">
                  <c:v>2010</c:v>
                </c:pt>
                <c:pt idx="5">
                  <c:v>2011</c:v>
                </c:pt>
              </c:numCache>
            </c:numRef>
          </c:cat>
          <c:val>
            <c:numRef>
              <c:f>Adult_Major_Depressive_Episode!$B$9:$G$9</c:f>
              <c:numCache>
                <c:formatCode>0.0</c:formatCode>
                <c:ptCount val="6"/>
                <c:pt idx="0">
                  <c:v>7.57</c:v>
                </c:pt>
                <c:pt idx="1">
                  <c:v>8.2000000000000011</c:v>
                </c:pt>
                <c:pt idx="3">
                  <c:v>5.6599999999999975</c:v>
                </c:pt>
                <c:pt idx="4">
                  <c:v>6.24</c:v>
                </c:pt>
                <c:pt idx="5">
                  <c:v>6.39</c:v>
                </c:pt>
              </c:numCache>
            </c:numRef>
          </c:val>
          <c:smooth val="0"/>
        </c:ser>
        <c:ser>
          <c:idx val="1"/>
          <c:order val="1"/>
          <c:tx>
            <c:strRef>
              <c:f>Adult_Major_Depressive_Episode!$A$10</c:f>
              <c:strCache>
                <c:ptCount val="1"/>
                <c:pt idx="0">
                  <c:v>United States</c:v>
                </c:pt>
              </c:strCache>
            </c:strRef>
          </c:tx>
          <c:spPr>
            <a:ln>
              <a:solidFill>
                <a:srgbClr val="FAB037"/>
              </a:solidFill>
            </a:ln>
          </c:spPr>
          <c:marker>
            <c:symbol val="diamond"/>
            <c:size val="7"/>
            <c:spPr>
              <a:solidFill>
                <a:srgbClr val="FAB037"/>
              </a:solidFill>
            </c:spPr>
          </c:marker>
          <c:cat>
            <c:numRef>
              <c:f>Adult_Major_Depressive_Episode!$B$8:$G$8</c:f>
              <c:numCache>
                <c:formatCode>General</c:formatCode>
                <c:ptCount val="6"/>
                <c:pt idx="0">
                  <c:v>2006</c:v>
                </c:pt>
                <c:pt idx="1">
                  <c:v>2007</c:v>
                </c:pt>
                <c:pt idx="2">
                  <c:v>2008</c:v>
                </c:pt>
                <c:pt idx="3">
                  <c:v>2009</c:v>
                </c:pt>
                <c:pt idx="4">
                  <c:v>2010</c:v>
                </c:pt>
                <c:pt idx="5">
                  <c:v>2011</c:v>
                </c:pt>
              </c:numCache>
            </c:numRef>
          </c:cat>
          <c:val>
            <c:numRef>
              <c:f>Adult_Major_Depressive_Episode!$B$10:$G$10</c:f>
              <c:numCache>
                <c:formatCode>0.0</c:formatCode>
                <c:ptCount val="6"/>
                <c:pt idx="0">
                  <c:v>7.25</c:v>
                </c:pt>
                <c:pt idx="1">
                  <c:v>7.34</c:v>
                </c:pt>
                <c:pt idx="3">
                  <c:v>6.49</c:v>
                </c:pt>
                <c:pt idx="4">
                  <c:v>6.7</c:v>
                </c:pt>
                <c:pt idx="5">
                  <c:v>6.7</c:v>
                </c:pt>
              </c:numCache>
            </c:numRef>
          </c:val>
          <c:smooth val="0"/>
        </c:ser>
        <c:dLbls>
          <c:showLegendKey val="0"/>
          <c:showVal val="0"/>
          <c:showCatName val="0"/>
          <c:showSerName val="0"/>
          <c:showPercent val="0"/>
          <c:showBubbleSize val="0"/>
        </c:dLbls>
        <c:marker val="1"/>
        <c:smooth val="0"/>
        <c:axId val="139868160"/>
        <c:axId val="140120576"/>
      </c:lineChart>
      <c:catAx>
        <c:axId val="139868160"/>
        <c:scaling>
          <c:orientation val="minMax"/>
        </c:scaling>
        <c:delete val="0"/>
        <c:axPos val="b"/>
        <c:numFmt formatCode="General" sourceLinked="1"/>
        <c:majorTickMark val="none"/>
        <c:minorTickMark val="none"/>
        <c:tickLblPos val="nextTo"/>
        <c:crossAx val="140120576"/>
        <c:crosses val="autoZero"/>
        <c:auto val="1"/>
        <c:lblAlgn val="ctr"/>
        <c:lblOffset val="100"/>
        <c:noMultiLvlLbl val="0"/>
      </c:catAx>
      <c:valAx>
        <c:axId val="140120576"/>
        <c:scaling>
          <c:orientation val="minMax"/>
        </c:scaling>
        <c:delete val="0"/>
        <c:axPos val="l"/>
        <c:majorGridlines/>
        <c:title>
          <c:tx>
            <c:rich>
              <a:bodyPr/>
              <a:lstStyle/>
              <a:p>
                <a:pPr>
                  <a:defRPr b="0"/>
                </a:pPr>
                <a:r>
                  <a:rPr lang="en-US" b="0"/>
                  <a:t>Percentage</a:t>
                </a:r>
              </a:p>
            </c:rich>
          </c:tx>
          <c:overlay val="0"/>
        </c:title>
        <c:numFmt formatCode="0" sourceLinked="0"/>
        <c:majorTickMark val="none"/>
        <c:minorTickMark val="none"/>
        <c:tickLblPos val="nextTo"/>
        <c:crossAx val="139868160"/>
        <c:crosses val="autoZero"/>
        <c:crossBetween val="between"/>
      </c:valAx>
      <c:dTable>
        <c:showHorzBorder val="1"/>
        <c:showVertBorder val="1"/>
        <c:showOutline val="1"/>
        <c:showKeys val="1"/>
      </c:dTable>
    </c:plotArea>
    <c:plotVisOnly val="1"/>
    <c:dispBlanksAs val="gap"/>
    <c:showDLblsOverMax val="0"/>
  </c:chart>
  <c:txPr>
    <a:bodyPr/>
    <a:lstStyle/>
    <a:p>
      <a:pPr>
        <a:defRPr>
          <a:latin typeface="Gill Sans MT" pitchFamily="34" charset="0"/>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Adult Any Mental Illness, Louisiana vs. United States (2009-2011)</a:t>
            </a:r>
          </a:p>
        </c:rich>
      </c:tx>
      <c:overlay val="0"/>
    </c:title>
    <c:autoTitleDeleted val="0"/>
    <c:plotArea>
      <c:layout/>
      <c:lineChart>
        <c:grouping val="standard"/>
        <c:varyColors val="0"/>
        <c:ser>
          <c:idx val="0"/>
          <c:order val="0"/>
          <c:tx>
            <c:strRef>
              <c:f>Adult_Any_Mental_Illness!$A$9</c:f>
              <c:strCache>
                <c:ptCount val="1"/>
                <c:pt idx="0">
                  <c:v>Louisiana</c:v>
                </c:pt>
              </c:strCache>
            </c:strRef>
          </c:tx>
          <c:spPr>
            <a:ln>
              <a:solidFill>
                <a:srgbClr val="0075B0"/>
              </a:solidFill>
            </a:ln>
          </c:spPr>
          <c:marker>
            <c:spPr>
              <a:solidFill>
                <a:srgbClr val="0075B0"/>
              </a:solidFill>
              <a:ln>
                <a:solidFill>
                  <a:srgbClr val="0075B0"/>
                </a:solidFill>
              </a:ln>
            </c:spPr>
          </c:marker>
          <c:cat>
            <c:numRef>
              <c:f>Adult_Any_Mental_Illness!$B$8:$D$8</c:f>
              <c:numCache>
                <c:formatCode>General</c:formatCode>
                <c:ptCount val="3"/>
                <c:pt idx="0">
                  <c:v>2009</c:v>
                </c:pt>
                <c:pt idx="1">
                  <c:v>2010</c:v>
                </c:pt>
                <c:pt idx="2">
                  <c:v>2011</c:v>
                </c:pt>
              </c:numCache>
            </c:numRef>
          </c:cat>
          <c:val>
            <c:numRef>
              <c:f>Adult_Any_Mental_Illness!$B$9:$D$9</c:f>
              <c:numCache>
                <c:formatCode>0.0</c:formatCode>
                <c:ptCount val="3"/>
                <c:pt idx="0">
                  <c:v>19.73</c:v>
                </c:pt>
                <c:pt idx="1">
                  <c:v>20.77</c:v>
                </c:pt>
                <c:pt idx="2">
                  <c:v>21.110000000000021</c:v>
                </c:pt>
              </c:numCache>
            </c:numRef>
          </c:val>
          <c:smooth val="0"/>
        </c:ser>
        <c:ser>
          <c:idx val="1"/>
          <c:order val="1"/>
          <c:tx>
            <c:strRef>
              <c:f>Adult_Any_Mental_Illness!$A$10</c:f>
              <c:strCache>
                <c:ptCount val="1"/>
                <c:pt idx="0">
                  <c:v>United States</c:v>
                </c:pt>
              </c:strCache>
            </c:strRef>
          </c:tx>
          <c:spPr>
            <a:ln>
              <a:solidFill>
                <a:srgbClr val="FAB037"/>
              </a:solidFill>
            </a:ln>
          </c:spPr>
          <c:marker>
            <c:symbol val="diamond"/>
            <c:size val="7"/>
            <c:spPr>
              <a:solidFill>
                <a:srgbClr val="FAB037"/>
              </a:solidFill>
              <a:ln>
                <a:solidFill>
                  <a:srgbClr val="FAB037"/>
                </a:solidFill>
              </a:ln>
            </c:spPr>
          </c:marker>
          <c:cat>
            <c:numRef>
              <c:f>Adult_Any_Mental_Illness!$B$8:$D$8</c:f>
              <c:numCache>
                <c:formatCode>General</c:formatCode>
                <c:ptCount val="3"/>
                <c:pt idx="0">
                  <c:v>2009</c:v>
                </c:pt>
                <c:pt idx="1">
                  <c:v>2010</c:v>
                </c:pt>
                <c:pt idx="2">
                  <c:v>2011</c:v>
                </c:pt>
              </c:numCache>
            </c:numRef>
          </c:cat>
          <c:val>
            <c:numRef>
              <c:f>Adult_Any_Mental_Illness!$B$10:$D$10</c:f>
              <c:numCache>
                <c:formatCode>0.0</c:formatCode>
                <c:ptCount val="3"/>
                <c:pt idx="0">
                  <c:v>19.670000000000005</c:v>
                </c:pt>
                <c:pt idx="1">
                  <c:v>20.03</c:v>
                </c:pt>
                <c:pt idx="2">
                  <c:v>19.829999999999899</c:v>
                </c:pt>
              </c:numCache>
            </c:numRef>
          </c:val>
          <c:smooth val="0"/>
        </c:ser>
        <c:dLbls>
          <c:showLegendKey val="0"/>
          <c:showVal val="0"/>
          <c:showCatName val="0"/>
          <c:showSerName val="0"/>
          <c:showPercent val="0"/>
          <c:showBubbleSize val="0"/>
        </c:dLbls>
        <c:marker val="1"/>
        <c:smooth val="0"/>
        <c:axId val="129318912"/>
        <c:axId val="140122304"/>
      </c:lineChart>
      <c:catAx>
        <c:axId val="129318912"/>
        <c:scaling>
          <c:orientation val="minMax"/>
        </c:scaling>
        <c:delete val="0"/>
        <c:axPos val="b"/>
        <c:numFmt formatCode="General" sourceLinked="1"/>
        <c:majorTickMark val="none"/>
        <c:minorTickMark val="none"/>
        <c:tickLblPos val="nextTo"/>
        <c:crossAx val="140122304"/>
        <c:crosses val="autoZero"/>
        <c:auto val="1"/>
        <c:lblAlgn val="ctr"/>
        <c:lblOffset val="100"/>
        <c:noMultiLvlLbl val="0"/>
      </c:catAx>
      <c:valAx>
        <c:axId val="140122304"/>
        <c:scaling>
          <c:orientation val="minMax"/>
          <c:min val="0"/>
        </c:scaling>
        <c:delete val="0"/>
        <c:axPos val="l"/>
        <c:majorGridlines/>
        <c:title>
          <c:tx>
            <c:rich>
              <a:bodyPr/>
              <a:lstStyle/>
              <a:p>
                <a:pPr>
                  <a:defRPr b="0"/>
                </a:pPr>
                <a:r>
                  <a:rPr lang="en-US" b="0"/>
                  <a:t>Percentage</a:t>
                </a:r>
              </a:p>
            </c:rich>
          </c:tx>
          <c:overlay val="0"/>
        </c:title>
        <c:numFmt formatCode="0" sourceLinked="0"/>
        <c:majorTickMark val="none"/>
        <c:minorTickMark val="none"/>
        <c:tickLblPos val="nextTo"/>
        <c:crossAx val="129318912"/>
        <c:crosses val="autoZero"/>
        <c:crossBetween val="between"/>
      </c:valAx>
      <c:dTable>
        <c:showHorzBorder val="1"/>
        <c:showVertBorder val="1"/>
        <c:showOutline val="1"/>
        <c:showKeys val="1"/>
      </c:dTable>
    </c:plotArea>
    <c:plotVisOnly val="1"/>
    <c:dispBlanksAs val="gap"/>
    <c:showDLblsOverMax val="0"/>
  </c:chart>
  <c:txPr>
    <a:bodyPr/>
    <a:lstStyle/>
    <a:p>
      <a:pPr>
        <a:defRPr>
          <a:latin typeface="Gill Sans MT" pitchFamily="34" charset="0"/>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Adult Serious Mental Illness, Louisiana vs. United States (2009-2011)</a:t>
            </a:r>
          </a:p>
        </c:rich>
      </c:tx>
      <c:overlay val="0"/>
    </c:title>
    <c:autoTitleDeleted val="0"/>
    <c:plotArea>
      <c:layout/>
      <c:lineChart>
        <c:grouping val="standard"/>
        <c:varyColors val="0"/>
        <c:ser>
          <c:idx val="0"/>
          <c:order val="0"/>
          <c:tx>
            <c:strRef>
              <c:f>Adult_Serious_Mental_Illness!$A$9</c:f>
              <c:strCache>
                <c:ptCount val="1"/>
                <c:pt idx="0">
                  <c:v>Louisiana</c:v>
                </c:pt>
              </c:strCache>
            </c:strRef>
          </c:tx>
          <c:spPr>
            <a:ln>
              <a:solidFill>
                <a:srgbClr val="FAB037"/>
              </a:solidFill>
            </a:ln>
          </c:spPr>
          <c:marker>
            <c:spPr>
              <a:solidFill>
                <a:srgbClr val="FAB037"/>
              </a:solidFill>
              <a:ln>
                <a:solidFill>
                  <a:srgbClr val="FAB037"/>
                </a:solidFill>
              </a:ln>
            </c:spPr>
          </c:marker>
          <c:cat>
            <c:numRef>
              <c:f>Adult_Serious_Mental_Illness!$B$8:$D$8</c:f>
              <c:numCache>
                <c:formatCode>General</c:formatCode>
                <c:ptCount val="3"/>
                <c:pt idx="0">
                  <c:v>2009</c:v>
                </c:pt>
                <c:pt idx="1">
                  <c:v>2010</c:v>
                </c:pt>
                <c:pt idx="2">
                  <c:v>2011</c:v>
                </c:pt>
              </c:numCache>
            </c:numRef>
          </c:cat>
          <c:val>
            <c:numRef>
              <c:f>Adult_Serious_Mental_Illness!$B$9:$D$9</c:f>
              <c:numCache>
                <c:formatCode>0.0</c:formatCode>
                <c:ptCount val="3"/>
                <c:pt idx="0">
                  <c:v>4.76</c:v>
                </c:pt>
                <c:pt idx="1">
                  <c:v>5</c:v>
                </c:pt>
                <c:pt idx="2">
                  <c:v>4.58</c:v>
                </c:pt>
              </c:numCache>
            </c:numRef>
          </c:val>
          <c:smooth val="0"/>
        </c:ser>
        <c:ser>
          <c:idx val="1"/>
          <c:order val="1"/>
          <c:tx>
            <c:strRef>
              <c:f>Adult_Serious_Mental_Illness!$A$10</c:f>
              <c:strCache>
                <c:ptCount val="1"/>
                <c:pt idx="0">
                  <c:v>United States</c:v>
                </c:pt>
              </c:strCache>
            </c:strRef>
          </c:tx>
          <c:spPr>
            <a:ln>
              <a:solidFill>
                <a:srgbClr val="0075B0"/>
              </a:solidFill>
            </a:ln>
          </c:spPr>
          <c:marker>
            <c:symbol val="diamond"/>
            <c:size val="7"/>
            <c:spPr>
              <a:solidFill>
                <a:srgbClr val="0075B0"/>
              </a:solidFill>
              <a:ln>
                <a:solidFill>
                  <a:srgbClr val="0075B0"/>
                </a:solidFill>
              </a:ln>
            </c:spPr>
          </c:marker>
          <c:cat>
            <c:numRef>
              <c:f>Adult_Serious_Mental_Illness!$B$8:$D$8</c:f>
              <c:numCache>
                <c:formatCode>General</c:formatCode>
                <c:ptCount val="3"/>
                <c:pt idx="0">
                  <c:v>2009</c:v>
                </c:pt>
                <c:pt idx="1">
                  <c:v>2010</c:v>
                </c:pt>
                <c:pt idx="2">
                  <c:v>2011</c:v>
                </c:pt>
              </c:numCache>
            </c:numRef>
          </c:cat>
          <c:val>
            <c:numRef>
              <c:f>Adult_Serious_Mental_Illness!$B$10:$D$10</c:f>
              <c:numCache>
                <c:formatCode>0.0</c:formatCode>
                <c:ptCount val="3"/>
                <c:pt idx="0">
                  <c:v>4.5999999999999899</c:v>
                </c:pt>
                <c:pt idx="1">
                  <c:v>4.9300000000000024</c:v>
                </c:pt>
                <c:pt idx="2">
                  <c:v>4.99</c:v>
                </c:pt>
              </c:numCache>
            </c:numRef>
          </c:val>
          <c:smooth val="0"/>
        </c:ser>
        <c:dLbls>
          <c:showLegendKey val="0"/>
          <c:showVal val="0"/>
          <c:showCatName val="0"/>
          <c:showSerName val="0"/>
          <c:showPercent val="0"/>
          <c:showBubbleSize val="0"/>
        </c:dLbls>
        <c:marker val="1"/>
        <c:smooth val="0"/>
        <c:axId val="129319424"/>
        <c:axId val="140247040"/>
      </c:lineChart>
      <c:catAx>
        <c:axId val="129319424"/>
        <c:scaling>
          <c:orientation val="minMax"/>
        </c:scaling>
        <c:delete val="0"/>
        <c:axPos val="b"/>
        <c:numFmt formatCode="General" sourceLinked="1"/>
        <c:majorTickMark val="none"/>
        <c:minorTickMark val="none"/>
        <c:tickLblPos val="nextTo"/>
        <c:crossAx val="140247040"/>
        <c:crosses val="autoZero"/>
        <c:auto val="1"/>
        <c:lblAlgn val="ctr"/>
        <c:lblOffset val="100"/>
        <c:noMultiLvlLbl val="0"/>
      </c:catAx>
      <c:valAx>
        <c:axId val="140247040"/>
        <c:scaling>
          <c:orientation val="minMax"/>
          <c:min val="0"/>
        </c:scaling>
        <c:delete val="0"/>
        <c:axPos val="l"/>
        <c:majorGridlines/>
        <c:title>
          <c:tx>
            <c:rich>
              <a:bodyPr/>
              <a:lstStyle/>
              <a:p>
                <a:pPr>
                  <a:defRPr b="0"/>
                </a:pPr>
                <a:r>
                  <a:rPr lang="en-US" b="0"/>
                  <a:t>Percentage</a:t>
                </a:r>
              </a:p>
            </c:rich>
          </c:tx>
          <c:overlay val="0"/>
        </c:title>
        <c:numFmt formatCode="0" sourceLinked="0"/>
        <c:majorTickMark val="none"/>
        <c:minorTickMark val="none"/>
        <c:tickLblPos val="nextTo"/>
        <c:crossAx val="129319424"/>
        <c:crosses val="autoZero"/>
        <c:crossBetween val="between"/>
      </c:valAx>
      <c:dTable>
        <c:showHorzBorder val="1"/>
        <c:showVertBorder val="1"/>
        <c:showOutline val="1"/>
        <c:showKeys val="1"/>
      </c:dTable>
    </c:plotArea>
    <c:plotVisOnly val="1"/>
    <c:dispBlanksAs val="gap"/>
    <c:showDLblsOverMax val="0"/>
  </c:chart>
  <c:txPr>
    <a:bodyPr/>
    <a:lstStyle/>
    <a:p>
      <a:pPr>
        <a:defRPr>
          <a:latin typeface="Gill Sans MT" pitchFamily="34" charset="0"/>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Students Making a Suicide Plan, Louisiana vs. United States (2007-2011)</a:t>
            </a:r>
          </a:p>
        </c:rich>
      </c:tx>
      <c:overlay val="0"/>
    </c:title>
    <c:autoTitleDeleted val="0"/>
    <c:plotArea>
      <c:layout/>
      <c:lineChart>
        <c:grouping val="standard"/>
        <c:varyColors val="0"/>
        <c:ser>
          <c:idx val="0"/>
          <c:order val="0"/>
          <c:tx>
            <c:strRef>
              <c:f>Sheet2!$B$9</c:f>
              <c:strCache>
                <c:ptCount val="1"/>
                <c:pt idx="0">
                  <c:v>LA-Est.</c:v>
                </c:pt>
              </c:strCache>
            </c:strRef>
          </c:tx>
          <c:spPr>
            <a:ln>
              <a:solidFill>
                <a:srgbClr val="0075B0"/>
              </a:solidFill>
            </a:ln>
          </c:spPr>
          <c:marker>
            <c:spPr>
              <a:solidFill>
                <a:srgbClr val="0075B0"/>
              </a:solidFill>
              <a:ln>
                <a:solidFill>
                  <a:srgbClr val="0075B0"/>
                </a:solidFill>
              </a:ln>
            </c:spPr>
          </c:marker>
          <c:cat>
            <c:numRef>
              <c:f>Sheet2!$C$8:$E$8</c:f>
              <c:numCache>
                <c:formatCode>General</c:formatCode>
                <c:ptCount val="3"/>
                <c:pt idx="0">
                  <c:v>2007</c:v>
                </c:pt>
                <c:pt idx="1">
                  <c:v>2009</c:v>
                </c:pt>
                <c:pt idx="2">
                  <c:v>2011</c:v>
                </c:pt>
              </c:numCache>
            </c:numRef>
          </c:cat>
          <c:val>
            <c:numRef>
              <c:f>Sheet2!$C$9:$E$9</c:f>
              <c:numCache>
                <c:formatCode>General</c:formatCode>
                <c:ptCount val="3"/>
                <c:pt idx="0">
                  <c:v>11.9</c:v>
                </c:pt>
                <c:pt idx="1">
                  <c:v>11.6</c:v>
                </c:pt>
                <c:pt idx="2">
                  <c:v>12</c:v>
                </c:pt>
              </c:numCache>
            </c:numRef>
          </c:val>
          <c:smooth val="0"/>
        </c:ser>
        <c:ser>
          <c:idx val="1"/>
          <c:order val="1"/>
          <c:tx>
            <c:strRef>
              <c:f>Sheet2!$B$10</c:f>
              <c:strCache>
                <c:ptCount val="1"/>
                <c:pt idx="0">
                  <c:v>US-Est.</c:v>
                </c:pt>
              </c:strCache>
            </c:strRef>
          </c:tx>
          <c:spPr>
            <a:ln>
              <a:solidFill>
                <a:srgbClr val="FAB037"/>
              </a:solidFill>
            </a:ln>
          </c:spPr>
          <c:marker>
            <c:symbol val="diamond"/>
            <c:size val="7"/>
            <c:spPr>
              <a:solidFill>
                <a:srgbClr val="FAB037"/>
              </a:solidFill>
              <a:ln>
                <a:solidFill>
                  <a:srgbClr val="FAB037"/>
                </a:solidFill>
              </a:ln>
            </c:spPr>
          </c:marker>
          <c:cat>
            <c:numRef>
              <c:f>Sheet2!$C$8:$E$8</c:f>
              <c:numCache>
                <c:formatCode>General</c:formatCode>
                <c:ptCount val="3"/>
                <c:pt idx="0">
                  <c:v>2007</c:v>
                </c:pt>
                <c:pt idx="1">
                  <c:v>2009</c:v>
                </c:pt>
                <c:pt idx="2">
                  <c:v>2011</c:v>
                </c:pt>
              </c:numCache>
            </c:numRef>
          </c:cat>
          <c:val>
            <c:numRef>
              <c:f>Sheet2!$C$10:$E$10</c:f>
              <c:numCache>
                <c:formatCode>General</c:formatCode>
                <c:ptCount val="3"/>
                <c:pt idx="0">
                  <c:v>11.3</c:v>
                </c:pt>
                <c:pt idx="1">
                  <c:v>10.9</c:v>
                </c:pt>
                <c:pt idx="2">
                  <c:v>12.8</c:v>
                </c:pt>
              </c:numCache>
            </c:numRef>
          </c:val>
          <c:smooth val="0"/>
        </c:ser>
        <c:dLbls>
          <c:showLegendKey val="0"/>
          <c:showVal val="0"/>
          <c:showCatName val="0"/>
          <c:showSerName val="0"/>
          <c:showPercent val="0"/>
          <c:showBubbleSize val="0"/>
        </c:dLbls>
        <c:marker val="1"/>
        <c:smooth val="0"/>
        <c:axId val="129320960"/>
        <c:axId val="140248768"/>
      </c:lineChart>
      <c:catAx>
        <c:axId val="129320960"/>
        <c:scaling>
          <c:orientation val="minMax"/>
        </c:scaling>
        <c:delete val="0"/>
        <c:axPos val="b"/>
        <c:numFmt formatCode="General" sourceLinked="1"/>
        <c:majorTickMark val="none"/>
        <c:minorTickMark val="none"/>
        <c:tickLblPos val="nextTo"/>
        <c:crossAx val="140248768"/>
        <c:crosses val="autoZero"/>
        <c:auto val="1"/>
        <c:lblAlgn val="ctr"/>
        <c:lblOffset val="100"/>
        <c:noMultiLvlLbl val="0"/>
      </c:catAx>
      <c:valAx>
        <c:axId val="140248768"/>
        <c:scaling>
          <c:orientation val="minMax"/>
          <c:min val="0"/>
        </c:scaling>
        <c:delete val="0"/>
        <c:axPos val="l"/>
        <c:majorGridlines/>
        <c:title>
          <c:tx>
            <c:rich>
              <a:bodyPr/>
              <a:lstStyle/>
              <a:p>
                <a:pPr>
                  <a:defRPr b="0"/>
                </a:pPr>
                <a:r>
                  <a:rPr lang="en-US" b="0"/>
                  <a:t>Percentage</a:t>
                </a:r>
              </a:p>
            </c:rich>
          </c:tx>
          <c:overlay val="0"/>
        </c:title>
        <c:numFmt formatCode="General" sourceLinked="1"/>
        <c:majorTickMark val="none"/>
        <c:minorTickMark val="none"/>
        <c:tickLblPos val="nextTo"/>
        <c:crossAx val="129320960"/>
        <c:crosses val="autoZero"/>
        <c:crossBetween val="between"/>
      </c:valAx>
      <c:dTable>
        <c:showHorzBorder val="1"/>
        <c:showVertBorder val="1"/>
        <c:showOutline val="1"/>
        <c:showKeys val="1"/>
      </c:dTable>
    </c:plotArea>
    <c:plotVisOnly val="1"/>
    <c:dispBlanksAs val="gap"/>
    <c:showDLblsOverMax val="0"/>
  </c:chart>
  <c:txPr>
    <a:bodyPr/>
    <a:lstStyle/>
    <a:p>
      <a:pPr>
        <a:defRPr>
          <a:latin typeface="Gill Sans MT" pitchFamily="34" charset="0"/>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Youth Reported Suicide Attempt, Louisiana vs. United States (2007-2011)</a:t>
            </a:r>
          </a:p>
        </c:rich>
      </c:tx>
      <c:overlay val="0"/>
    </c:title>
    <c:autoTitleDeleted val="0"/>
    <c:plotArea>
      <c:layout/>
      <c:lineChart>
        <c:grouping val="standard"/>
        <c:varyColors val="0"/>
        <c:ser>
          <c:idx val="0"/>
          <c:order val="0"/>
          <c:tx>
            <c:strRef>
              <c:f>Sheet3!$B$9</c:f>
              <c:strCache>
                <c:ptCount val="1"/>
                <c:pt idx="0">
                  <c:v>LA-Est.</c:v>
                </c:pt>
              </c:strCache>
            </c:strRef>
          </c:tx>
          <c:spPr>
            <a:ln>
              <a:solidFill>
                <a:srgbClr val="0075B0"/>
              </a:solidFill>
            </a:ln>
          </c:spPr>
          <c:marker>
            <c:spPr>
              <a:solidFill>
                <a:srgbClr val="0075B0"/>
              </a:solidFill>
              <a:ln>
                <a:solidFill>
                  <a:srgbClr val="0075B0"/>
                </a:solidFill>
              </a:ln>
            </c:spPr>
          </c:marker>
          <c:cat>
            <c:numRef>
              <c:f>Sheet3!$C$8:$E$8</c:f>
              <c:numCache>
                <c:formatCode>General</c:formatCode>
                <c:ptCount val="3"/>
                <c:pt idx="0">
                  <c:v>2007</c:v>
                </c:pt>
                <c:pt idx="1">
                  <c:v>2009</c:v>
                </c:pt>
                <c:pt idx="2">
                  <c:v>2011</c:v>
                </c:pt>
              </c:numCache>
            </c:numRef>
          </c:cat>
          <c:val>
            <c:numRef>
              <c:f>Sheet3!$C$9:$E$9</c:f>
              <c:numCache>
                <c:formatCode>General</c:formatCode>
                <c:ptCount val="3"/>
                <c:pt idx="0">
                  <c:v>9.2000000000000011</c:v>
                </c:pt>
                <c:pt idx="1">
                  <c:v>10.9</c:v>
                </c:pt>
                <c:pt idx="2">
                  <c:v>10.6</c:v>
                </c:pt>
              </c:numCache>
            </c:numRef>
          </c:val>
          <c:smooth val="0"/>
        </c:ser>
        <c:ser>
          <c:idx val="1"/>
          <c:order val="1"/>
          <c:tx>
            <c:strRef>
              <c:f>Sheet3!$B$10</c:f>
              <c:strCache>
                <c:ptCount val="1"/>
                <c:pt idx="0">
                  <c:v>US-Est.</c:v>
                </c:pt>
              </c:strCache>
            </c:strRef>
          </c:tx>
          <c:spPr>
            <a:ln>
              <a:solidFill>
                <a:srgbClr val="FAB037"/>
              </a:solidFill>
            </a:ln>
          </c:spPr>
          <c:marker>
            <c:symbol val="diamond"/>
            <c:size val="7"/>
            <c:spPr>
              <a:solidFill>
                <a:srgbClr val="FAB037"/>
              </a:solidFill>
              <a:ln>
                <a:solidFill>
                  <a:srgbClr val="FAB037"/>
                </a:solidFill>
              </a:ln>
            </c:spPr>
          </c:marker>
          <c:cat>
            <c:numRef>
              <c:f>Sheet3!$C$8:$E$8</c:f>
              <c:numCache>
                <c:formatCode>General</c:formatCode>
                <c:ptCount val="3"/>
                <c:pt idx="0">
                  <c:v>2007</c:v>
                </c:pt>
                <c:pt idx="1">
                  <c:v>2009</c:v>
                </c:pt>
                <c:pt idx="2">
                  <c:v>2011</c:v>
                </c:pt>
              </c:numCache>
            </c:numRef>
          </c:cat>
          <c:val>
            <c:numRef>
              <c:f>Sheet3!$C$10:$E$10</c:f>
              <c:numCache>
                <c:formatCode>General</c:formatCode>
                <c:ptCount val="3"/>
                <c:pt idx="0">
                  <c:v>6.9</c:v>
                </c:pt>
                <c:pt idx="1">
                  <c:v>6.3</c:v>
                </c:pt>
                <c:pt idx="2">
                  <c:v>7.8</c:v>
                </c:pt>
              </c:numCache>
            </c:numRef>
          </c:val>
          <c:smooth val="0"/>
        </c:ser>
        <c:dLbls>
          <c:showLegendKey val="0"/>
          <c:showVal val="0"/>
          <c:showCatName val="0"/>
          <c:showSerName val="0"/>
          <c:showPercent val="0"/>
          <c:showBubbleSize val="0"/>
        </c:dLbls>
        <c:marker val="1"/>
        <c:smooth val="0"/>
        <c:axId val="129321472"/>
        <c:axId val="140250496"/>
      </c:lineChart>
      <c:catAx>
        <c:axId val="129321472"/>
        <c:scaling>
          <c:orientation val="minMax"/>
        </c:scaling>
        <c:delete val="0"/>
        <c:axPos val="b"/>
        <c:numFmt formatCode="General" sourceLinked="1"/>
        <c:majorTickMark val="none"/>
        <c:minorTickMark val="none"/>
        <c:tickLblPos val="nextTo"/>
        <c:crossAx val="140250496"/>
        <c:crosses val="autoZero"/>
        <c:auto val="1"/>
        <c:lblAlgn val="ctr"/>
        <c:lblOffset val="100"/>
        <c:noMultiLvlLbl val="0"/>
      </c:catAx>
      <c:valAx>
        <c:axId val="140250496"/>
        <c:scaling>
          <c:orientation val="minMax"/>
        </c:scaling>
        <c:delete val="0"/>
        <c:axPos val="l"/>
        <c:majorGridlines/>
        <c:title>
          <c:tx>
            <c:rich>
              <a:bodyPr/>
              <a:lstStyle/>
              <a:p>
                <a:pPr>
                  <a:defRPr b="0"/>
                </a:pPr>
                <a:r>
                  <a:rPr lang="en-US" b="0"/>
                  <a:t>Percentage</a:t>
                </a:r>
              </a:p>
            </c:rich>
          </c:tx>
          <c:overlay val="0"/>
        </c:title>
        <c:numFmt formatCode="General" sourceLinked="1"/>
        <c:majorTickMark val="none"/>
        <c:minorTickMark val="none"/>
        <c:tickLblPos val="nextTo"/>
        <c:crossAx val="129321472"/>
        <c:crosses val="autoZero"/>
        <c:crossBetween val="between"/>
      </c:valAx>
      <c:dTable>
        <c:showHorzBorder val="1"/>
        <c:showVertBorder val="1"/>
        <c:showOutline val="1"/>
        <c:showKeys val="1"/>
      </c:dTable>
    </c:plotArea>
    <c:plotVisOnly val="1"/>
    <c:dispBlanksAs val="gap"/>
    <c:showDLblsOverMax val="0"/>
  </c:chart>
  <c:txPr>
    <a:bodyPr/>
    <a:lstStyle/>
    <a:p>
      <a:pPr>
        <a:defRPr>
          <a:latin typeface="Gill Sans MT" pitchFamily="34" charset="0"/>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Adult Suicidal Ideation, Louisiana vs. United States (2009-2011)</a:t>
            </a:r>
          </a:p>
        </c:rich>
      </c:tx>
      <c:overlay val="0"/>
    </c:title>
    <c:autoTitleDeleted val="0"/>
    <c:plotArea>
      <c:layout/>
      <c:lineChart>
        <c:grouping val="standard"/>
        <c:varyColors val="0"/>
        <c:ser>
          <c:idx val="0"/>
          <c:order val="0"/>
          <c:tx>
            <c:strRef>
              <c:f>Adult_Suicidal_Ideation!$A$9</c:f>
              <c:strCache>
                <c:ptCount val="1"/>
                <c:pt idx="0">
                  <c:v>Louisiana</c:v>
                </c:pt>
              </c:strCache>
            </c:strRef>
          </c:tx>
          <c:spPr>
            <a:ln>
              <a:solidFill>
                <a:srgbClr val="0075B0"/>
              </a:solidFill>
            </a:ln>
          </c:spPr>
          <c:marker>
            <c:spPr>
              <a:solidFill>
                <a:srgbClr val="0075B0"/>
              </a:solidFill>
            </c:spPr>
          </c:marker>
          <c:cat>
            <c:numRef>
              <c:f>Adult_Suicidal_Ideation!$B$8:$D$8</c:f>
              <c:numCache>
                <c:formatCode>General</c:formatCode>
                <c:ptCount val="3"/>
                <c:pt idx="0">
                  <c:v>2009</c:v>
                </c:pt>
                <c:pt idx="1">
                  <c:v>2010</c:v>
                </c:pt>
                <c:pt idx="2">
                  <c:v>2011</c:v>
                </c:pt>
              </c:numCache>
            </c:numRef>
          </c:cat>
          <c:val>
            <c:numRef>
              <c:f>Adult_Suicidal_Ideation!$B$9:$D$9</c:f>
              <c:numCache>
                <c:formatCode>0.0</c:formatCode>
                <c:ptCount val="3"/>
                <c:pt idx="0">
                  <c:v>3.08</c:v>
                </c:pt>
                <c:pt idx="1">
                  <c:v>3.53</c:v>
                </c:pt>
                <c:pt idx="2">
                  <c:v>3.7</c:v>
                </c:pt>
              </c:numCache>
            </c:numRef>
          </c:val>
          <c:smooth val="0"/>
        </c:ser>
        <c:ser>
          <c:idx val="1"/>
          <c:order val="1"/>
          <c:tx>
            <c:strRef>
              <c:f>Adult_Suicidal_Ideation!$A$10</c:f>
              <c:strCache>
                <c:ptCount val="1"/>
                <c:pt idx="0">
                  <c:v>United States</c:v>
                </c:pt>
              </c:strCache>
            </c:strRef>
          </c:tx>
          <c:spPr>
            <a:ln>
              <a:solidFill>
                <a:srgbClr val="FAB037"/>
              </a:solidFill>
            </a:ln>
          </c:spPr>
          <c:marker>
            <c:symbol val="diamond"/>
            <c:size val="7"/>
            <c:spPr>
              <a:solidFill>
                <a:srgbClr val="FAB037"/>
              </a:solidFill>
              <a:ln>
                <a:solidFill>
                  <a:srgbClr val="FAB037"/>
                </a:solidFill>
              </a:ln>
            </c:spPr>
          </c:marker>
          <c:cat>
            <c:numRef>
              <c:f>Adult_Suicidal_Ideation!$B$8:$D$8</c:f>
              <c:numCache>
                <c:formatCode>General</c:formatCode>
                <c:ptCount val="3"/>
                <c:pt idx="0">
                  <c:v>2009</c:v>
                </c:pt>
                <c:pt idx="1">
                  <c:v>2010</c:v>
                </c:pt>
                <c:pt idx="2">
                  <c:v>2011</c:v>
                </c:pt>
              </c:numCache>
            </c:numRef>
          </c:cat>
          <c:val>
            <c:numRef>
              <c:f>Adult_Suicidal_Ideation!$B$10:$D$10</c:f>
              <c:numCache>
                <c:formatCode>0.0</c:formatCode>
                <c:ptCount val="3"/>
                <c:pt idx="0">
                  <c:v>3.71</c:v>
                </c:pt>
                <c:pt idx="1">
                  <c:v>3.7800000000000002</c:v>
                </c:pt>
                <c:pt idx="2">
                  <c:v>3.75</c:v>
                </c:pt>
              </c:numCache>
            </c:numRef>
          </c:val>
          <c:smooth val="0"/>
        </c:ser>
        <c:dLbls>
          <c:showLegendKey val="0"/>
          <c:showVal val="0"/>
          <c:showCatName val="0"/>
          <c:showSerName val="0"/>
          <c:showPercent val="0"/>
          <c:showBubbleSize val="0"/>
        </c:dLbls>
        <c:marker val="1"/>
        <c:smooth val="0"/>
        <c:axId val="129518592"/>
        <c:axId val="140252224"/>
      </c:lineChart>
      <c:catAx>
        <c:axId val="129518592"/>
        <c:scaling>
          <c:orientation val="minMax"/>
        </c:scaling>
        <c:delete val="0"/>
        <c:axPos val="b"/>
        <c:numFmt formatCode="General" sourceLinked="1"/>
        <c:majorTickMark val="none"/>
        <c:minorTickMark val="none"/>
        <c:tickLblPos val="nextTo"/>
        <c:crossAx val="140252224"/>
        <c:crosses val="autoZero"/>
        <c:auto val="1"/>
        <c:lblAlgn val="ctr"/>
        <c:lblOffset val="100"/>
        <c:noMultiLvlLbl val="0"/>
      </c:catAx>
      <c:valAx>
        <c:axId val="140252224"/>
        <c:scaling>
          <c:orientation val="minMax"/>
          <c:max val="5"/>
        </c:scaling>
        <c:delete val="0"/>
        <c:axPos val="l"/>
        <c:majorGridlines/>
        <c:title>
          <c:tx>
            <c:rich>
              <a:bodyPr/>
              <a:lstStyle/>
              <a:p>
                <a:pPr>
                  <a:defRPr b="0"/>
                </a:pPr>
                <a:r>
                  <a:rPr lang="en-US" b="0"/>
                  <a:t>Percentage</a:t>
                </a:r>
              </a:p>
            </c:rich>
          </c:tx>
          <c:overlay val="0"/>
        </c:title>
        <c:numFmt formatCode="0" sourceLinked="0"/>
        <c:majorTickMark val="none"/>
        <c:minorTickMark val="none"/>
        <c:tickLblPos val="nextTo"/>
        <c:crossAx val="129518592"/>
        <c:crosses val="autoZero"/>
        <c:crossBetween val="between"/>
        <c:majorUnit val="1"/>
      </c:valAx>
      <c:dTable>
        <c:showHorzBorder val="1"/>
        <c:showVertBorder val="1"/>
        <c:showOutline val="1"/>
        <c:showKeys val="1"/>
      </c:dTable>
    </c:plotArea>
    <c:plotVisOnly val="1"/>
    <c:dispBlanksAs val="gap"/>
    <c:showDLblsOverMax val="0"/>
  </c:chart>
  <c:txPr>
    <a:bodyPr/>
    <a:lstStyle/>
    <a:p>
      <a:pPr>
        <a:defRPr>
          <a:latin typeface="Gill Sans MT"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solidFill>
                  <a:sysClr val="windowText" lastClr="000000"/>
                </a:solidFill>
                <a:latin typeface="Gill Sans MT" pitchFamily="34" charset="0"/>
              </a:defRPr>
            </a:pPr>
            <a:r>
              <a:rPr lang="en-US" sz="1200">
                <a:solidFill>
                  <a:sysClr val="windowText" lastClr="000000"/>
                </a:solidFill>
                <a:latin typeface="Gill Sans MT" pitchFamily="34" charset="0"/>
              </a:rPr>
              <a:t>Trends</a:t>
            </a:r>
            <a:r>
              <a:rPr lang="en-US" sz="1200" baseline="0">
                <a:solidFill>
                  <a:sysClr val="windowText" lastClr="000000"/>
                </a:solidFill>
                <a:latin typeface="Gill Sans MT" pitchFamily="34" charset="0"/>
              </a:rPr>
              <a:t> in Poverty in Louisiana</a:t>
            </a:r>
            <a:endParaRPr lang="en-US" sz="1200">
              <a:solidFill>
                <a:sysClr val="windowText" lastClr="000000"/>
              </a:solidFill>
              <a:latin typeface="Gill Sans MT" pitchFamily="34" charset="0"/>
            </a:endParaRPr>
          </a:p>
        </c:rich>
      </c:tx>
      <c:layout/>
      <c:overlay val="0"/>
    </c:title>
    <c:autoTitleDeleted val="0"/>
    <c:plotArea>
      <c:layout/>
      <c:lineChart>
        <c:grouping val="standard"/>
        <c:varyColors val="0"/>
        <c:ser>
          <c:idx val="1"/>
          <c:order val="0"/>
          <c:tx>
            <c:strRef>
              <c:f>'Educaiton and POverty'!$E$14</c:f>
              <c:strCache>
                <c:ptCount val="1"/>
                <c:pt idx="0">
                  <c:v>% in Poverty (LA)</c:v>
                </c:pt>
              </c:strCache>
            </c:strRef>
          </c:tx>
          <c:spPr>
            <a:ln>
              <a:solidFill>
                <a:srgbClr val="0075B0"/>
              </a:solidFill>
            </a:ln>
          </c:spPr>
          <c:marker>
            <c:spPr>
              <a:solidFill>
                <a:srgbClr val="0075B0"/>
              </a:solidFill>
              <a:ln>
                <a:solidFill>
                  <a:srgbClr val="0075B0"/>
                </a:solidFill>
              </a:ln>
            </c:spPr>
          </c:marker>
          <c:dLbls>
            <c:dLbl>
              <c:idx val="0"/>
              <c:layout>
                <c:manualLayout>
                  <c:x val="-3.8664782286829576E-2"/>
                  <c:y val="-5.7547608311075672E-2"/>
                </c:manualLayout>
              </c:layout>
              <c:dLblPos val="r"/>
              <c:showLegendKey val="0"/>
              <c:showVal val="1"/>
              <c:showCatName val="0"/>
              <c:showSerName val="0"/>
              <c:showPercent val="0"/>
              <c:showBubbleSize val="0"/>
            </c:dLbl>
            <c:dLbl>
              <c:idx val="1"/>
              <c:layout>
                <c:manualLayout>
                  <c:x val="-9.9320030919595945E-3"/>
                  <c:y val="-2.4981058727860567E-2"/>
                </c:manualLayout>
              </c:layout>
              <c:dLblPos val="r"/>
              <c:showLegendKey val="0"/>
              <c:showVal val="1"/>
              <c:showCatName val="0"/>
              <c:showSerName val="0"/>
              <c:showPercent val="0"/>
              <c:showBubbleSize val="0"/>
            </c:dLbl>
            <c:txPr>
              <a:bodyPr/>
              <a:lstStyle/>
              <a:p>
                <a:pPr>
                  <a:defRPr>
                    <a:solidFill>
                      <a:sysClr val="windowText" lastClr="000000"/>
                    </a:solidFill>
                    <a:latin typeface="Gill Sans MT" pitchFamily="34" charset="0"/>
                  </a:defRPr>
                </a:pPr>
                <a:endParaRPr lang="en-US"/>
              </a:p>
            </c:txPr>
            <c:dLblPos val="t"/>
            <c:showLegendKey val="0"/>
            <c:showVal val="1"/>
            <c:showCatName val="0"/>
            <c:showSerName val="0"/>
            <c:showPercent val="0"/>
            <c:showBubbleSize val="0"/>
            <c:showLeaderLines val="0"/>
          </c:dLbls>
          <c:cat>
            <c:numRef>
              <c:f>'Educaiton and POverty'!$C$15:$C$20</c:f>
              <c:numCache>
                <c:formatCode>0</c:formatCode>
                <c:ptCount val="6"/>
                <c:pt idx="0">
                  <c:v>1960</c:v>
                </c:pt>
                <c:pt idx="1">
                  <c:v>1970</c:v>
                </c:pt>
                <c:pt idx="2">
                  <c:v>1980</c:v>
                </c:pt>
                <c:pt idx="3">
                  <c:v>1990</c:v>
                </c:pt>
                <c:pt idx="4">
                  <c:v>2000</c:v>
                </c:pt>
                <c:pt idx="5">
                  <c:v>2010</c:v>
                </c:pt>
              </c:numCache>
            </c:numRef>
          </c:cat>
          <c:val>
            <c:numRef>
              <c:f>'Educaiton and POverty'!$E$15:$E$20</c:f>
              <c:numCache>
                <c:formatCode>0.0</c:formatCode>
                <c:ptCount val="6"/>
                <c:pt idx="0">
                  <c:v>39.5</c:v>
                </c:pt>
                <c:pt idx="1">
                  <c:v>26.3</c:v>
                </c:pt>
                <c:pt idx="2">
                  <c:v>18.600000000000001</c:v>
                </c:pt>
                <c:pt idx="3">
                  <c:v>23.6</c:v>
                </c:pt>
                <c:pt idx="4">
                  <c:v>19.600000000000001</c:v>
                </c:pt>
                <c:pt idx="5">
                  <c:v>18.7</c:v>
                </c:pt>
              </c:numCache>
            </c:numRef>
          </c:val>
          <c:smooth val="0"/>
        </c:ser>
        <c:dLbls>
          <c:showLegendKey val="0"/>
          <c:showVal val="0"/>
          <c:showCatName val="0"/>
          <c:showSerName val="0"/>
          <c:showPercent val="0"/>
          <c:showBubbleSize val="0"/>
        </c:dLbls>
        <c:marker val="1"/>
        <c:smooth val="0"/>
        <c:axId val="122507264"/>
        <c:axId val="50144960"/>
      </c:lineChart>
      <c:catAx>
        <c:axId val="122507264"/>
        <c:scaling>
          <c:orientation val="minMax"/>
        </c:scaling>
        <c:delete val="0"/>
        <c:axPos val="b"/>
        <c:title>
          <c:tx>
            <c:rich>
              <a:bodyPr/>
              <a:lstStyle/>
              <a:p>
                <a:pPr>
                  <a:defRPr/>
                </a:pPr>
                <a:r>
                  <a:rPr lang="en-US" sz="1050" b="0" dirty="0">
                    <a:solidFill>
                      <a:srgbClr val="000000"/>
                    </a:solidFill>
                    <a:latin typeface="Franklin Gothic Medium" pitchFamily="34" charset="0"/>
                  </a:rPr>
                  <a:t>Year</a:t>
                </a:r>
                <a:endParaRPr lang="en-US" b="0" dirty="0">
                  <a:solidFill>
                    <a:srgbClr val="000000"/>
                  </a:solidFill>
                  <a:latin typeface="Franklin Gothic Medium" pitchFamily="34" charset="0"/>
                </a:endParaRPr>
              </a:p>
            </c:rich>
          </c:tx>
          <c:layout/>
          <c:overlay val="0"/>
        </c:title>
        <c:numFmt formatCode="0" sourceLinked="1"/>
        <c:majorTickMark val="out"/>
        <c:minorTickMark val="none"/>
        <c:tickLblPos val="nextTo"/>
        <c:txPr>
          <a:bodyPr/>
          <a:lstStyle/>
          <a:p>
            <a:pPr>
              <a:defRPr>
                <a:solidFill>
                  <a:sysClr val="windowText" lastClr="000000"/>
                </a:solidFill>
                <a:latin typeface="Gill Sans MT" pitchFamily="34" charset="0"/>
              </a:defRPr>
            </a:pPr>
            <a:endParaRPr lang="en-US"/>
          </a:p>
        </c:txPr>
        <c:crossAx val="50144960"/>
        <c:crosses val="autoZero"/>
        <c:auto val="1"/>
        <c:lblAlgn val="ctr"/>
        <c:lblOffset val="100"/>
        <c:noMultiLvlLbl val="0"/>
      </c:catAx>
      <c:valAx>
        <c:axId val="50144960"/>
        <c:scaling>
          <c:orientation val="minMax"/>
        </c:scaling>
        <c:delete val="0"/>
        <c:axPos val="l"/>
        <c:majorGridlines>
          <c:spPr>
            <a:ln>
              <a:solidFill>
                <a:schemeClr val="tx1"/>
              </a:solidFill>
            </a:ln>
          </c:spPr>
        </c:majorGridlines>
        <c:title>
          <c:tx>
            <c:rich>
              <a:bodyPr rot="-5400000" vert="horz"/>
              <a:lstStyle/>
              <a:p>
                <a:pPr>
                  <a:defRPr>
                    <a:solidFill>
                      <a:sysClr val="windowText" lastClr="000000"/>
                    </a:solidFill>
                    <a:latin typeface="Gill Sans MT" pitchFamily="34" charset="0"/>
                  </a:defRPr>
                </a:pPr>
                <a:r>
                  <a:rPr lang="en-US">
                    <a:solidFill>
                      <a:sysClr val="windowText" lastClr="000000"/>
                    </a:solidFill>
                    <a:latin typeface="Gill Sans MT" pitchFamily="34" charset="0"/>
                  </a:rPr>
                  <a:t>% of Population</a:t>
                </a:r>
              </a:p>
            </c:rich>
          </c:tx>
          <c:layout/>
          <c:overlay val="0"/>
        </c:title>
        <c:numFmt formatCode="0" sourceLinked="0"/>
        <c:majorTickMark val="out"/>
        <c:minorTickMark val="none"/>
        <c:tickLblPos val="nextTo"/>
        <c:txPr>
          <a:bodyPr/>
          <a:lstStyle/>
          <a:p>
            <a:pPr>
              <a:defRPr>
                <a:solidFill>
                  <a:sysClr val="windowText" lastClr="000000"/>
                </a:solidFill>
                <a:latin typeface="Gill Sans MT" pitchFamily="34" charset="0"/>
              </a:defRPr>
            </a:pPr>
            <a:endParaRPr lang="en-US"/>
          </a:p>
        </c:txPr>
        <c:crossAx val="122507264"/>
        <c:crosses val="autoZero"/>
        <c:crossBetween val="between"/>
        <c:majorUnit val="10"/>
      </c:valAx>
    </c:plotArea>
    <c:legend>
      <c:legendPos val="b"/>
      <c:layout/>
      <c:overlay val="0"/>
      <c:txPr>
        <a:bodyPr/>
        <a:lstStyle/>
        <a:p>
          <a:pPr>
            <a:defRPr>
              <a:solidFill>
                <a:sysClr val="windowText" lastClr="000000"/>
              </a:solidFill>
              <a:latin typeface="Gill Sans MT" pitchFamily="34" charset="0"/>
            </a:defRPr>
          </a:pPr>
          <a:endParaRPr lang="en-U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latin typeface="Gill Sans MT" pitchFamily="34" charset="0"/>
              </a:rPr>
              <a:t>Percentage of Youth in Louisiana Indicating</a:t>
            </a:r>
            <a:r>
              <a:rPr lang="en-US" sz="1000" baseline="0">
                <a:latin typeface="Gill Sans MT" pitchFamily="34" charset="0"/>
              </a:rPr>
              <a:t> Alcohol Use In Past 30 Days by Grade </a:t>
            </a:r>
            <a:endParaRPr lang="en-US" sz="1000">
              <a:latin typeface="Gill Sans MT" pitchFamily="34" charset="0"/>
            </a:endParaRPr>
          </a:p>
        </c:rich>
      </c:tx>
      <c:layout>
        <c:manualLayout>
          <c:xMode val="edge"/>
          <c:yMode val="edge"/>
          <c:x val="0.11655982905982905"/>
          <c:y val="5.737704918032787E-2"/>
        </c:manualLayout>
      </c:layout>
      <c:overlay val="0"/>
    </c:title>
    <c:autoTitleDeleted val="0"/>
    <c:plotArea>
      <c:layout>
        <c:manualLayout>
          <c:layoutTarget val="inner"/>
          <c:xMode val="edge"/>
          <c:yMode val="edge"/>
          <c:x val="0.19365384615384615"/>
          <c:y val="0.24740770620885505"/>
          <c:w val="0.78284188034188074"/>
          <c:h val="0.41866432167290585"/>
        </c:manualLayout>
      </c:layout>
      <c:lineChart>
        <c:grouping val="standard"/>
        <c:varyColors val="0"/>
        <c:ser>
          <c:idx val="0"/>
          <c:order val="0"/>
          <c:tx>
            <c:v>6th Grade</c:v>
          </c:tx>
          <c:spPr>
            <a:ln>
              <a:solidFill>
                <a:srgbClr val="0075B0"/>
              </a:solidFill>
            </a:ln>
          </c:spPr>
          <c:marker>
            <c:symbol val="diamond"/>
            <c:size val="6"/>
            <c:spPr>
              <a:solidFill>
                <a:srgbClr val="0075B0"/>
              </a:solidFill>
            </c:spPr>
          </c:marker>
          <c:cat>
            <c:numRef>
              <c:f>'Youth_Alcohol_Use-30-Day'!$B$6:$G$6</c:f>
              <c:numCache>
                <c:formatCode>General</c:formatCode>
                <c:ptCount val="6"/>
                <c:pt idx="0">
                  <c:v>2002</c:v>
                </c:pt>
                <c:pt idx="1">
                  <c:v>2004</c:v>
                </c:pt>
                <c:pt idx="2">
                  <c:v>2006</c:v>
                </c:pt>
                <c:pt idx="3">
                  <c:v>2008</c:v>
                </c:pt>
                <c:pt idx="4">
                  <c:v>2010</c:v>
                </c:pt>
                <c:pt idx="5">
                  <c:v>2012</c:v>
                </c:pt>
              </c:numCache>
            </c:numRef>
          </c:cat>
          <c:val>
            <c:numRef>
              <c:f>'Youth_Alcohol_Use-30-Day'!$B$71:$G$71</c:f>
              <c:numCache>
                <c:formatCode>0.0</c:formatCode>
                <c:ptCount val="6"/>
                <c:pt idx="0">
                  <c:v>10.8</c:v>
                </c:pt>
                <c:pt idx="1">
                  <c:v>7.7</c:v>
                </c:pt>
                <c:pt idx="2">
                  <c:v>5.7</c:v>
                </c:pt>
                <c:pt idx="3">
                  <c:v>9.5</c:v>
                </c:pt>
                <c:pt idx="4">
                  <c:v>8.1362041775288905</c:v>
                </c:pt>
                <c:pt idx="5">
                  <c:v>6.7677178917039882</c:v>
                </c:pt>
              </c:numCache>
            </c:numRef>
          </c:val>
          <c:smooth val="0"/>
        </c:ser>
        <c:ser>
          <c:idx val="1"/>
          <c:order val="1"/>
          <c:tx>
            <c:v>8th Grade</c:v>
          </c:tx>
          <c:spPr>
            <a:ln>
              <a:solidFill>
                <a:srgbClr val="FAB037"/>
              </a:solidFill>
            </a:ln>
          </c:spPr>
          <c:marker>
            <c:symbol val="diamond"/>
            <c:size val="6"/>
            <c:spPr>
              <a:solidFill>
                <a:srgbClr val="FAB037"/>
              </a:solidFill>
            </c:spPr>
          </c:marker>
          <c:cat>
            <c:numRef>
              <c:f>'Youth_Alcohol_Use-30-Day'!$B$6:$G$6</c:f>
              <c:numCache>
                <c:formatCode>General</c:formatCode>
                <c:ptCount val="6"/>
                <c:pt idx="0">
                  <c:v>2002</c:v>
                </c:pt>
                <c:pt idx="1">
                  <c:v>2004</c:v>
                </c:pt>
                <c:pt idx="2">
                  <c:v>2006</c:v>
                </c:pt>
                <c:pt idx="3">
                  <c:v>2008</c:v>
                </c:pt>
                <c:pt idx="4">
                  <c:v>2010</c:v>
                </c:pt>
                <c:pt idx="5">
                  <c:v>2012</c:v>
                </c:pt>
              </c:numCache>
            </c:numRef>
          </c:cat>
          <c:val>
            <c:numRef>
              <c:f>'Youth_Alcohol_Use-30-Day'!$J$71:$O$71</c:f>
              <c:numCache>
                <c:formatCode>0.0</c:formatCode>
                <c:ptCount val="6"/>
                <c:pt idx="0">
                  <c:v>27.3</c:v>
                </c:pt>
                <c:pt idx="1">
                  <c:v>22.7</c:v>
                </c:pt>
                <c:pt idx="2">
                  <c:v>18.7</c:v>
                </c:pt>
                <c:pt idx="3">
                  <c:v>23.9</c:v>
                </c:pt>
                <c:pt idx="4">
                  <c:v>21.808896097173793</c:v>
                </c:pt>
                <c:pt idx="5">
                  <c:v>18.510724952484299</c:v>
                </c:pt>
              </c:numCache>
            </c:numRef>
          </c:val>
          <c:smooth val="0"/>
        </c:ser>
        <c:ser>
          <c:idx val="2"/>
          <c:order val="2"/>
          <c:tx>
            <c:v>10th Grade</c:v>
          </c:tx>
          <c:spPr>
            <a:ln>
              <a:solidFill>
                <a:srgbClr val="D65400"/>
              </a:solidFill>
            </a:ln>
          </c:spPr>
          <c:marker>
            <c:symbol val="diamond"/>
            <c:size val="6"/>
            <c:spPr>
              <a:solidFill>
                <a:srgbClr val="D65400"/>
              </a:solidFill>
            </c:spPr>
          </c:marker>
          <c:cat>
            <c:numRef>
              <c:f>'Youth_Alcohol_Use-30-Day'!$B$6:$G$6</c:f>
              <c:numCache>
                <c:formatCode>General</c:formatCode>
                <c:ptCount val="6"/>
                <c:pt idx="0">
                  <c:v>2002</c:v>
                </c:pt>
                <c:pt idx="1">
                  <c:v>2004</c:v>
                </c:pt>
                <c:pt idx="2">
                  <c:v>2006</c:v>
                </c:pt>
                <c:pt idx="3">
                  <c:v>2008</c:v>
                </c:pt>
                <c:pt idx="4">
                  <c:v>2010</c:v>
                </c:pt>
                <c:pt idx="5">
                  <c:v>2012</c:v>
                </c:pt>
              </c:numCache>
            </c:numRef>
          </c:cat>
          <c:val>
            <c:numRef>
              <c:f>'Youth_Alcohol_Use-30-Day'!$R$71:$W$71</c:f>
              <c:numCache>
                <c:formatCode>0.0</c:formatCode>
                <c:ptCount val="6"/>
                <c:pt idx="0">
                  <c:v>40</c:v>
                </c:pt>
                <c:pt idx="1">
                  <c:v>37.200000000000003</c:v>
                </c:pt>
                <c:pt idx="2">
                  <c:v>35.1</c:v>
                </c:pt>
                <c:pt idx="3">
                  <c:v>37.799999999999919</c:v>
                </c:pt>
                <c:pt idx="4">
                  <c:v>35.306438393588813</c:v>
                </c:pt>
                <c:pt idx="5">
                  <c:v>34.989366227137396</c:v>
                </c:pt>
              </c:numCache>
            </c:numRef>
          </c:val>
          <c:smooth val="0"/>
        </c:ser>
        <c:ser>
          <c:idx val="3"/>
          <c:order val="3"/>
          <c:tx>
            <c:v>12th Grade</c:v>
          </c:tx>
          <c:spPr>
            <a:ln>
              <a:solidFill>
                <a:srgbClr val="00457C"/>
              </a:solidFill>
            </a:ln>
          </c:spPr>
          <c:marker>
            <c:symbol val="diamond"/>
            <c:size val="6"/>
            <c:spPr>
              <a:solidFill>
                <a:srgbClr val="00457C"/>
              </a:solidFill>
            </c:spPr>
          </c:marker>
          <c:cat>
            <c:numRef>
              <c:f>'Youth_Alcohol_Use-30-Day'!$B$6:$G$6</c:f>
              <c:numCache>
                <c:formatCode>General</c:formatCode>
                <c:ptCount val="6"/>
                <c:pt idx="0">
                  <c:v>2002</c:v>
                </c:pt>
                <c:pt idx="1">
                  <c:v>2004</c:v>
                </c:pt>
                <c:pt idx="2">
                  <c:v>2006</c:v>
                </c:pt>
                <c:pt idx="3">
                  <c:v>2008</c:v>
                </c:pt>
                <c:pt idx="4">
                  <c:v>2010</c:v>
                </c:pt>
                <c:pt idx="5">
                  <c:v>2012</c:v>
                </c:pt>
              </c:numCache>
            </c:numRef>
          </c:cat>
          <c:val>
            <c:numRef>
              <c:f>'Youth_Alcohol_Use-30-Day'!$Z$71:$AE$71</c:f>
              <c:numCache>
                <c:formatCode>0.0</c:formatCode>
                <c:ptCount val="6"/>
                <c:pt idx="0">
                  <c:v>49.4</c:v>
                </c:pt>
                <c:pt idx="1">
                  <c:v>48</c:v>
                </c:pt>
                <c:pt idx="2">
                  <c:v>44.6</c:v>
                </c:pt>
                <c:pt idx="3">
                  <c:v>46.9</c:v>
                </c:pt>
                <c:pt idx="4">
                  <c:v>45.739681820755301</c:v>
                </c:pt>
                <c:pt idx="5">
                  <c:v>45.847285502552573</c:v>
                </c:pt>
              </c:numCache>
            </c:numRef>
          </c:val>
          <c:smooth val="0"/>
        </c:ser>
        <c:dLbls>
          <c:showLegendKey val="0"/>
          <c:showVal val="0"/>
          <c:showCatName val="0"/>
          <c:showSerName val="0"/>
          <c:showPercent val="0"/>
          <c:showBubbleSize val="0"/>
        </c:dLbls>
        <c:marker val="1"/>
        <c:smooth val="0"/>
        <c:axId val="122508288"/>
        <c:axId val="50146688"/>
      </c:lineChart>
      <c:catAx>
        <c:axId val="122508288"/>
        <c:scaling>
          <c:orientation val="minMax"/>
        </c:scaling>
        <c:delete val="0"/>
        <c:axPos val="b"/>
        <c:numFmt formatCode="General" sourceLinked="1"/>
        <c:majorTickMark val="none"/>
        <c:minorTickMark val="none"/>
        <c:tickLblPos val="nextTo"/>
        <c:crossAx val="50146688"/>
        <c:crosses val="autoZero"/>
        <c:auto val="1"/>
        <c:lblAlgn val="ctr"/>
        <c:lblOffset val="100"/>
        <c:noMultiLvlLbl val="0"/>
      </c:catAx>
      <c:valAx>
        <c:axId val="50146688"/>
        <c:scaling>
          <c:orientation val="minMax"/>
        </c:scaling>
        <c:delete val="0"/>
        <c:axPos val="l"/>
        <c:majorGridlines/>
        <c:title>
          <c:tx>
            <c:rich>
              <a:bodyPr/>
              <a:lstStyle/>
              <a:p>
                <a:pPr>
                  <a:defRPr b="0">
                    <a:latin typeface="Gill Sans MT" pitchFamily="34" charset="0"/>
                  </a:defRPr>
                </a:pPr>
                <a:r>
                  <a:rPr lang="en-US" b="0">
                    <a:latin typeface="Gill Sans MT" pitchFamily="34" charset="0"/>
                  </a:rPr>
                  <a:t>Percentage</a:t>
                </a:r>
              </a:p>
            </c:rich>
          </c:tx>
          <c:layout>
            <c:manualLayout>
              <c:xMode val="edge"/>
              <c:yMode val="edge"/>
              <c:x val="6.9981583793738492E-2"/>
              <c:y val="0.37751026884351391"/>
            </c:manualLayout>
          </c:layout>
          <c:overlay val="0"/>
        </c:title>
        <c:numFmt formatCode="0" sourceLinked="0"/>
        <c:majorTickMark val="none"/>
        <c:minorTickMark val="none"/>
        <c:tickLblPos val="nextTo"/>
        <c:txPr>
          <a:bodyPr/>
          <a:lstStyle/>
          <a:p>
            <a:pPr>
              <a:defRPr>
                <a:latin typeface="Gill Sans MT" pitchFamily="34" charset="0"/>
              </a:defRPr>
            </a:pPr>
            <a:endParaRPr lang="en-US"/>
          </a:p>
        </c:txPr>
        <c:crossAx val="122508288"/>
        <c:crosses val="autoZero"/>
        <c:crossBetween val="between"/>
      </c:valAx>
      <c:dTable>
        <c:showHorzBorder val="1"/>
        <c:showVertBorder val="1"/>
        <c:showOutline val="1"/>
        <c:showKeys val="1"/>
        <c:txPr>
          <a:bodyPr/>
          <a:lstStyle/>
          <a:p>
            <a:pPr rtl="0">
              <a:defRPr>
                <a:latin typeface="Gill Sans MT" pitchFamily="34" charset="0"/>
              </a:defRPr>
            </a:pPr>
            <a:endParaRPr lang="en-US"/>
          </a:p>
        </c:txPr>
      </c:dTable>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sz="1000"/>
            </a:pPr>
            <a:r>
              <a:rPr lang="en-US" sz="1000">
                <a:latin typeface="Gill Sans MT" pitchFamily="34" charset="0"/>
              </a:rPr>
              <a:t>Percentage</a:t>
            </a:r>
            <a:r>
              <a:rPr lang="en-US" sz="1000" baseline="0">
                <a:latin typeface="Gill Sans MT" pitchFamily="34" charset="0"/>
              </a:rPr>
              <a:t> of Youth in Louisiana Indicating Binge Drinking In Past Two Weeks by Grade </a:t>
            </a:r>
            <a:endParaRPr lang="en-US" sz="1000">
              <a:latin typeface="Gill Sans MT" pitchFamily="34" charset="0"/>
            </a:endParaRPr>
          </a:p>
        </c:rich>
      </c:tx>
      <c:layout/>
      <c:overlay val="0"/>
    </c:title>
    <c:autoTitleDeleted val="0"/>
    <c:plotArea>
      <c:layout/>
      <c:lineChart>
        <c:grouping val="standard"/>
        <c:varyColors val="0"/>
        <c:ser>
          <c:idx val="0"/>
          <c:order val="0"/>
          <c:tx>
            <c:v>6th Grade</c:v>
          </c:tx>
          <c:spPr>
            <a:ln>
              <a:solidFill>
                <a:srgbClr val="0075B0"/>
              </a:solidFill>
            </a:ln>
          </c:spPr>
          <c:marker>
            <c:symbol val="diamond"/>
            <c:size val="6"/>
            <c:spPr>
              <a:solidFill>
                <a:srgbClr val="0075B0"/>
              </a:solidFill>
            </c:spPr>
          </c:marker>
          <c:cat>
            <c:numRef>
              <c:f>Youth_Binge_Drinking!$Z$6:$AE$6</c:f>
              <c:numCache>
                <c:formatCode>General</c:formatCode>
                <c:ptCount val="6"/>
                <c:pt idx="0">
                  <c:v>2002</c:v>
                </c:pt>
                <c:pt idx="1">
                  <c:v>2004</c:v>
                </c:pt>
                <c:pt idx="2">
                  <c:v>2006</c:v>
                </c:pt>
                <c:pt idx="3">
                  <c:v>2008</c:v>
                </c:pt>
                <c:pt idx="4">
                  <c:v>2010</c:v>
                </c:pt>
                <c:pt idx="5">
                  <c:v>2012</c:v>
                </c:pt>
              </c:numCache>
            </c:numRef>
          </c:cat>
          <c:val>
            <c:numRef>
              <c:f>Youth_Binge_Drinking!$B$71:$G$71</c:f>
              <c:numCache>
                <c:formatCode>0.0</c:formatCode>
                <c:ptCount val="6"/>
                <c:pt idx="0">
                  <c:v>4.8</c:v>
                </c:pt>
                <c:pt idx="1">
                  <c:v>5.8</c:v>
                </c:pt>
                <c:pt idx="2">
                  <c:v>5.3</c:v>
                </c:pt>
                <c:pt idx="3">
                  <c:v>5.4</c:v>
                </c:pt>
                <c:pt idx="4">
                  <c:v>4.8343183478318483</c:v>
                </c:pt>
                <c:pt idx="5">
                  <c:v>3.93181372869179</c:v>
                </c:pt>
              </c:numCache>
            </c:numRef>
          </c:val>
          <c:smooth val="0"/>
        </c:ser>
        <c:ser>
          <c:idx val="1"/>
          <c:order val="1"/>
          <c:tx>
            <c:v>8th Grade</c:v>
          </c:tx>
          <c:spPr>
            <a:ln>
              <a:solidFill>
                <a:srgbClr val="FAB037"/>
              </a:solidFill>
            </a:ln>
          </c:spPr>
          <c:marker>
            <c:symbol val="diamond"/>
            <c:size val="6"/>
            <c:spPr>
              <a:solidFill>
                <a:srgbClr val="FAB037"/>
              </a:solidFill>
            </c:spPr>
          </c:marker>
          <c:cat>
            <c:numRef>
              <c:f>Youth_Binge_Drinking!$Z$6:$AE$6</c:f>
              <c:numCache>
                <c:formatCode>General</c:formatCode>
                <c:ptCount val="6"/>
                <c:pt idx="0">
                  <c:v>2002</c:v>
                </c:pt>
                <c:pt idx="1">
                  <c:v>2004</c:v>
                </c:pt>
                <c:pt idx="2">
                  <c:v>2006</c:v>
                </c:pt>
                <c:pt idx="3">
                  <c:v>2008</c:v>
                </c:pt>
                <c:pt idx="4">
                  <c:v>2010</c:v>
                </c:pt>
                <c:pt idx="5">
                  <c:v>2012</c:v>
                </c:pt>
              </c:numCache>
            </c:numRef>
          </c:cat>
          <c:val>
            <c:numRef>
              <c:f>Youth_Binge_Drinking!$J$71:$O$71</c:f>
              <c:numCache>
                <c:formatCode>0.0</c:formatCode>
                <c:ptCount val="6"/>
                <c:pt idx="0">
                  <c:v>13.6</c:v>
                </c:pt>
                <c:pt idx="1">
                  <c:v>13.3</c:v>
                </c:pt>
                <c:pt idx="2">
                  <c:v>12.4</c:v>
                </c:pt>
                <c:pt idx="3">
                  <c:v>12.9</c:v>
                </c:pt>
                <c:pt idx="4">
                  <c:v>11.409466830899207</c:v>
                </c:pt>
                <c:pt idx="5">
                  <c:v>9.450219772552849</c:v>
                </c:pt>
              </c:numCache>
            </c:numRef>
          </c:val>
          <c:smooth val="0"/>
        </c:ser>
        <c:ser>
          <c:idx val="2"/>
          <c:order val="2"/>
          <c:tx>
            <c:v>10th Grade</c:v>
          </c:tx>
          <c:spPr>
            <a:ln>
              <a:solidFill>
                <a:srgbClr val="D65400"/>
              </a:solidFill>
            </a:ln>
          </c:spPr>
          <c:marker>
            <c:symbol val="diamond"/>
            <c:size val="6"/>
            <c:spPr>
              <a:solidFill>
                <a:srgbClr val="D65400"/>
              </a:solidFill>
            </c:spPr>
          </c:marker>
          <c:cat>
            <c:numRef>
              <c:f>Youth_Binge_Drinking!$Z$6:$AE$6</c:f>
              <c:numCache>
                <c:formatCode>General</c:formatCode>
                <c:ptCount val="6"/>
                <c:pt idx="0">
                  <c:v>2002</c:v>
                </c:pt>
                <c:pt idx="1">
                  <c:v>2004</c:v>
                </c:pt>
                <c:pt idx="2">
                  <c:v>2006</c:v>
                </c:pt>
                <c:pt idx="3">
                  <c:v>2008</c:v>
                </c:pt>
                <c:pt idx="4">
                  <c:v>2010</c:v>
                </c:pt>
                <c:pt idx="5">
                  <c:v>2012</c:v>
                </c:pt>
              </c:numCache>
            </c:numRef>
          </c:cat>
          <c:val>
            <c:numRef>
              <c:f>Youth_Binge_Drinking!$R$71:$W$71</c:f>
              <c:numCache>
                <c:formatCode>0.0</c:formatCode>
                <c:ptCount val="6"/>
                <c:pt idx="0">
                  <c:v>22.3</c:v>
                </c:pt>
                <c:pt idx="1">
                  <c:v>21.7</c:v>
                </c:pt>
                <c:pt idx="2">
                  <c:v>21.7</c:v>
                </c:pt>
                <c:pt idx="3">
                  <c:v>20.5</c:v>
                </c:pt>
                <c:pt idx="4">
                  <c:v>18.785657961872094</c:v>
                </c:pt>
                <c:pt idx="5">
                  <c:v>18.192184553309094</c:v>
                </c:pt>
              </c:numCache>
            </c:numRef>
          </c:val>
          <c:smooth val="0"/>
        </c:ser>
        <c:ser>
          <c:idx val="3"/>
          <c:order val="3"/>
          <c:tx>
            <c:v>12th Grade</c:v>
          </c:tx>
          <c:spPr>
            <a:ln>
              <a:solidFill>
                <a:srgbClr val="00457C"/>
              </a:solidFill>
            </a:ln>
          </c:spPr>
          <c:marker>
            <c:symbol val="diamond"/>
            <c:size val="6"/>
            <c:spPr>
              <a:solidFill>
                <a:srgbClr val="00457C"/>
              </a:solidFill>
            </c:spPr>
          </c:marker>
          <c:cat>
            <c:numRef>
              <c:f>Youth_Binge_Drinking!$Z$6:$AE$6</c:f>
              <c:numCache>
                <c:formatCode>General</c:formatCode>
                <c:ptCount val="6"/>
                <c:pt idx="0">
                  <c:v>2002</c:v>
                </c:pt>
                <c:pt idx="1">
                  <c:v>2004</c:v>
                </c:pt>
                <c:pt idx="2">
                  <c:v>2006</c:v>
                </c:pt>
                <c:pt idx="3">
                  <c:v>2008</c:v>
                </c:pt>
                <c:pt idx="4">
                  <c:v>2010</c:v>
                </c:pt>
                <c:pt idx="5">
                  <c:v>2012</c:v>
                </c:pt>
              </c:numCache>
            </c:numRef>
          </c:cat>
          <c:val>
            <c:numRef>
              <c:f>Youth_Binge_Drinking!$Z$71:$AE$71</c:f>
              <c:numCache>
                <c:formatCode>0.0</c:formatCode>
                <c:ptCount val="6"/>
                <c:pt idx="0">
                  <c:v>29.6</c:v>
                </c:pt>
                <c:pt idx="1">
                  <c:v>30.2</c:v>
                </c:pt>
                <c:pt idx="2">
                  <c:v>29</c:v>
                </c:pt>
                <c:pt idx="3">
                  <c:v>26.9</c:v>
                </c:pt>
                <c:pt idx="4">
                  <c:v>26.344764307833501</c:v>
                </c:pt>
                <c:pt idx="5">
                  <c:v>25.863044708545594</c:v>
                </c:pt>
              </c:numCache>
            </c:numRef>
          </c:val>
          <c:smooth val="0"/>
        </c:ser>
        <c:dLbls>
          <c:showLegendKey val="0"/>
          <c:showVal val="0"/>
          <c:showCatName val="0"/>
          <c:showSerName val="0"/>
          <c:showPercent val="0"/>
          <c:showBubbleSize val="0"/>
        </c:dLbls>
        <c:marker val="1"/>
        <c:smooth val="0"/>
        <c:axId val="126296576"/>
        <c:axId val="50148416"/>
      </c:lineChart>
      <c:catAx>
        <c:axId val="126296576"/>
        <c:scaling>
          <c:orientation val="minMax"/>
        </c:scaling>
        <c:delete val="0"/>
        <c:axPos val="b"/>
        <c:numFmt formatCode="General" sourceLinked="1"/>
        <c:majorTickMark val="none"/>
        <c:minorTickMark val="none"/>
        <c:tickLblPos val="nextTo"/>
        <c:crossAx val="50148416"/>
        <c:crosses val="autoZero"/>
        <c:auto val="1"/>
        <c:lblAlgn val="ctr"/>
        <c:lblOffset val="100"/>
        <c:noMultiLvlLbl val="0"/>
      </c:catAx>
      <c:valAx>
        <c:axId val="50148416"/>
        <c:scaling>
          <c:orientation val="minMax"/>
        </c:scaling>
        <c:delete val="0"/>
        <c:axPos val="l"/>
        <c:majorGridlines/>
        <c:title>
          <c:tx>
            <c:rich>
              <a:bodyPr/>
              <a:lstStyle/>
              <a:p>
                <a:pPr>
                  <a:defRPr/>
                </a:pPr>
                <a:r>
                  <a:rPr lang="en-US" b="0">
                    <a:latin typeface="Gill Sans MT" pitchFamily="34" charset="0"/>
                  </a:rPr>
                  <a:t>Percentage</a:t>
                </a:r>
              </a:p>
            </c:rich>
          </c:tx>
          <c:layout>
            <c:manualLayout>
              <c:xMode val="edge"/>
              <c:yMode val="edge"/>
              <c:x val="7.3217715288681304E-2"/>
              <c:y val="0.38145628022912298"/>
            </c:manualLayout>
          </c:layout>
          <c:overlay val="0"/>
        </c:title>
        <c:numFmt formatCode="0" sourceLinked="0"/>
        <c:majorTickMark val="none"/>
        <c:minorTickMark val="none"/>
        <c:tickLblPos val="nextTo"/>
        <c:txPr>
          <a:bodyPr/>
          <a:lstStyle/>
          <a:p>
            <a:pPr>
              <a:defRPr>
                <a:latin typeface="Gill Sans MT" pitchFamily="34" charset="0"/>
              </a:defRPr>
            </a:pPr>
            <a:endParaRPr lang="en-US"/>
          </a:p>
        </c:txPr>
        <c:crossAx val="126296576"/>
        <c:crosses val="autoZero"/>
        <c:crossBetween val="between"/>
        <c:majorUnit val="10"/>
      </c:valAx>
      <c:dTable>
        <c:showHorzBorder val="1"/>
        <c:showVertBorder val="1"/>
        <c:showOutline val="1"/>
        <c:showKeys val="1"/>
        <c:txPr>
          <a:bodyPr/>
          <a:lstStyle/>
          <a:p>
            <a:pPr rtl="0">
              <a:defRPr>
                <a:latin typeface="Gill Sans MT" pitchFamily="34" charset="0"/>
              </a:defRPr>
            </a:pPr>
            <a:endParaRPr lang="en-US"/>
          </a:p>
        </c:txPr>
      </c:dTable>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Alcohol-related</a:t>
            </a:r>
            <a:r>
              <a:rPr lang="en-US" sz="1000" baseline="0"/>
              <a:t> Injury Crash Rate by Age</a:t>
            </a:r>
            <a:r>
              <a:rPr lang="en-US" sz="1000"/>
              <a:t> </a:t>
            </a:r>
          </a:p>
        </c:rich>
      </c:tx>
      <c:layout/>
      <c:overlay val="0"/>
    </c:title>
    <c:autoTitleDeleted val="0"/>
    <c:plotArea>
      <c:layout/>
      <c:barChart>
        <c:barDir val="col"/>
        <c:grouping val="clustered"/>
        <c:varyColors val="0"/>
        <c:ser>
          <c:idx val="0"/>
          <c:order val="0"/>
          <c:tx>
            <c:strRef>
              <c:f>'J1-2013'!$H$3</c:f>
              <c:strCache>
                <c:ptCount val="1"/>
                <c:pt idx="0">
                  <c:v>INJURY </c:v>
                </c:pt>
              </c:strCache>
            </c:strRef>
          </c:tx>
          <c:spPr>
            <a:solidFill>
              <a:srgbClr val="0075B0"/>
            </a:solidFill>
            <a:ln>
              <a:noFill/>
            </a:ln>
          </c:spPr>
          <c:invertIfNegative val="0"/>
          <c:dLbls>
            <c:dLblPos val="outEnd"/>
            <c:showLegendKey val="0"/>
            <c:showVal val="1"/>
            <c:showCatName val="0"/>
            <c:showSerName val="0"/>
            <c:showPercent val="0"/>
            <c:showBubbleSize val="0"/>
            <c:showLeaderLines val="0"/>
          </c:dLbls>
          <c:cat>
            <c:strRef>
              <c:f>'J1-2013'!$A$4:$A$15</c:f>
              <c:strCache>
                <c:ptCount val="12"/>
                <c:pt idx="0">
                  <c:v>0-14</c:v>
                </c:pt>
                <c:pt idx="1">
                  <c:v>15-17</c:v>
                </c:pt>
                <c:pt idx="2">
                  <c:v>18-20</c:v>
                </c:pt>
                <c:pt idx="3">
                  <c:v>21-24</c:v>
                </c:pt>
                <c:pt idx="4">
                  <c:v>25-34</c:v>
                </c:pt>
                <c:pt idx="5">
                  <c:v>35-44</c:v>
                </c:pt>
                <c:pt idx="6">
                  <c:v>45-54</c:v>
                </c:pt>
                <c:pt idx="7">
                  <c:v>55-64</c:v>
                </c:pt>
                <c:pt idx="8">
                  <c:v>65-74</c:v>
                </c:pt>
                <c:pt idx="9">
                  <c:v>75-84</c:v>
                </c:pt>
                <c:pt idx="10">
                  <c:v>85-94</c:v>
                </c:pt>
                <c:pt idx="11">
                  <c:v>95 and up</c:v>
                </c:pt>
              </c:strCache>
            </c:strRef>
          </c:cat>
          <c:val>
            <c:numRef>
              <c:f>'J1-2013'!$H$4:$H$15</c:f>
              <c:numCache>
                <c:formatCode>0</c:formatCode>
                <c:ptCount val="12"/>
                <c:pt idx="0">
                  <c:v>0</c:v>
                </c:pt>
                <c:pt idx="1">
                  <c:v>62.94</c:v>
                </c:pt>
                <c:pt idx="2">
                  <c:v>182.43</c:v>
                </c:pt>
                <c:pt idx="3">
                  <c:v>231.98000000000016</c:v>
                </c:pt>
                <c:pt idx="4">
                  <c:v>209.88000000000017</c:v>
                </c:pt>
                <c:pt idx="5">
                  <c:v>135.39000000000001</c:v>
                </c:pt>
                <c:pt idx="6">
                  <c:v>94.19</c:v>
                </c:pt>
                <c:pt idx="7">
                  <c:v>57.260000000000012</c:v>
                </c:pt>
                <c:pt idx="8">
                  <c:v>16.12</c:v>
                </c:pt>
                <c:pt idx="9">
                  <c:v>5.84</c:v>
                </c:pt>
                <c:pt idx="10">
                  <c:v>0</c:v>
                </c:pt>
                <c:pt idx="11">
                  <c:v>0</c:v>
                </c:pt>
              </c:numCache>
            </c:numRef>
          </c:val>
        </c:ser>
        <c:dLbls>
          <c:showLegendKey val="0"/>
          <c:showVal val="0"/>
          <c:showCatName val="0"/>
          <c:showSerName val="0"/>
          <c:showPercent val="0"/>
          <c:showBubbleSize val="0"/>
        </c:dLbls>
        <c:gapWidth val="150"/>
        <c:axId val="122509824"/>
        <c:axId val="50150720"/>
      </c:barChart>
      <c:catAx>
        <c:axId val="122509824"/>
        <c:scaling>
          <c:orientation val="minMax"/>
        </c:scaling>
        <c:delete val="0"/>
        <c:axPos val="b"/>
        <c:title>
          <c:tx>
            <c:rich>
              <a:bodyPr/>
              <a:lstStyle/>
              <a:p>
                <a:pPr>
                  <a:defRPr/>
                </a:pPr>
                <a:r>
                  <a:rPr lang="en-US"/>
                  <a:t>Age Range</a:t>
                </a:r>
              </a:p>
            </c:rich>
          </c:tx>
          <c:layout/>
          <c:overlay val="0"/>
        </c:title>
        <c:majorTickMark val="out"/>
        <c:minorTickMark val="none"/>
        <c:tickLblPos val="nextTo"/>
        <c:crossAx val="50150720"/>
        <c:crosses val="autoZero"/>
        <c:auto val="1"/>
        <c:lblAlgn val="ctr"/>
        <c:lblOffset val="100"/>
        <c:noMultiLvlLbl val="0"/>
      </c:catAx>
      <c:valAx>
        <c:axId val="50150720"/>
        <c:scaling>
          <c:orientation val="minMax"/>
        </c:scaling>
        <c:delete val="0"/>
        <c:axPos val="l"/>
        <c:majorGridlines/>
        <c:title>
          <c:tx>
            <c:rich>
              <a:bodyPr rot="-5400000" vert="horz"/>
              <a:lstStyle/>
              <a:p>
                <a:pPr>
                  <a:defRPr/>
                </a:pPr>
                <a:r>
                  <a:rPr lang="en-US"/>
                  <a:t>Rate per 100,000 Licensed Drivers</a:t>
                </a:r>
              </a:p>
            </c:rich>
          </c:tx>
          <c:layout/>
          <c:overlay val="0"/>
        </c:title>
        <c:numFmt formatCode="0" sourceLinked="1"/>
        <c:majorTickMark val="out"/>
        <c:minorTickMark val="none"/>
        <c:tickLblPos val="nextTo"/>
        <c:crossAx val="122509824"/>
        <c:crosses val="autoZero"/>
        <c:crossBetween val="between"/>
      </c:valAx>
    </c:plotArea>
    <c:plotVisOnly val="1"/>
    <c:dispBlanksAs val="gap"/>
    <c:showDLblsOverMax val="0"/>
  </c:chart>
  <c:txPr>
    <a:bodyPr/>
    <a:lstStyle/>
    <a:p>
      <a:pPr>
        <a:defRPr>
          <a:latin typeface="Gill Sans MT" pitchFamily="34"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sz="1200"/>
            </a:pPr>
            <a:r>
              <a:rPr lang="en-US" sz="1000">
                <a:latin typeface="Gill Sans MT" pitchFamily="34" charset="0"/>
              </a:rPr>
              <a:t>Rate of Alcohol Related Vehicle Crashes Resulting in Injury in Louisiana (2001-2011)</a:t>
            </a:r>
          </a:p>
        </c:rich>
      </c:tx>
      <c:layout/>
      <c:overlay val="0"/>
    </c:title>
    <c:autoTitleDeleted val="0"/>
    <c:plotArea>
      <c:layout/>
      <c:lineChart>
        <c:grouping val="standard"/>
        <c:varyColors val="0"/>
        <c:ser>
          <c:idx val="0"/>
          <c:order val="0"/>
          <c:tx>
            <c:v>Louisiana</c:v>
          </c:tx>
          <c:spPr>
            <a:ln>
              <a:solidFill>
                <a:srgbClr val="0075B0"/>
              </a:solidFill>
            </a:ln>
          </c:spPr>
          <c:marker>
            <c:symbol val="diamond"/>
            <c:size val="6"/>
          </c:marker>
          <c:cat>
            <c:numRef>
              <c:f>'Alcohol_Rel_Veh_Crashes-Injury'!$B$6:$L$6</c:f>
              <c:numCache>
                <c:formatCode>General</c:formatCode>
                <c:ptCount val="11"/>
                <c:pt idx="0">
                  <c:v>2001</c:v>
                </c:pt>
                <c:pt idx="1">
                  <c:v>2002</c:v>
                </c:pt>
                <c:pt idx="2">
                  <c:v>2003</c:v>
                </c:pt>
                <c:pt idx="3">
                  <c:v>2004</c:v>
                </c:pt>
                <c:pt idx="4">
                  <c:v>2005</c:v>
                </c:pt>
                <c:pt idx="5">
                  <c:v>2006</c:v>
                </c:pt>
                <c:pt idx="6">
                  <c:v>2007</c:v>
                </c:pt>
                <c:pt idx="7">
                  <c:v>2008</c:v>
                </c:pt>
                <c:pt idx="8">
                  <c:v>2009</c:v>
                </c:pt>
                <c:pt idx="9">
                  <c:v>2010</c:v>
                </c:pt>
                <c:pt idx="10">
                  <c:v>2011</c:v>
                </c:pt>
              </c:numCache>
            </c:numRef>
          </c:cat>
          <c:val>
            <c:numRef>
              <c:f>'Alcohol_Rel_Veh_Crashes-Injury'!$B$71:$L$71</c:f>
              <c:numCache>
                <c:formatCode>0</c:formatCode>
                <c:ptCount val="11"/>
                <c:pt idx="0">
                  <c:v>184.76225601452501</c:v>
                </c:pt>
                <c:pt idx="1">
                  <c:v>189.90993809168501</c:v>
                </c:pt>
                <c:pt idx="2">
                  <c:v>172.369857576621</c:v>
                </c:pt>
                <c:pt idx="3">
                  <c:v>162.76933827359798</c:v>
                </c:pt>
                <c:pt idx="4">
                  <c:v>149.706912555477</c:v>
                </c:pt>
                <c:pt idx="5">
                  <c:v>152.67384070305579</c:v>
                </c:pt>
                <c:pt idx="6">
                  <c:v>155.72833649722534</c:v>
                </c:pt>
                <c:pt idx="7">
                  <c:v>149.608199062371</c:v>
                </c:pt>
                <c:pt idx="8">
                  <c:v>143.75623753803717</c:v>
                </c:pt>
                <c:pt idx="9">
                  <c:v>127.88503800824091</c:v>
                </c:pt>
                <c:pt idx="10">
                  <c:v>121.49796186392508</c:v>
                </c:pt>
              </c:numCache>
            </c:numRef>
          </c:val>
          <c:smooth val="0"/>
        </c:ser>
        <c:dLbls>
          <c:showLegendKey val="0"/>
          <c:showVal val="0"/>
          <c:showCatName val="0"/>
          <c:showSerName val="0"/>
          <c:showPercent val="0"/>
          <c:showBubbleSize val="0"/>
        </c:dLbls>
        <c:marker val="1"/>
        <c:smooth val="0"/>
        <c:axId val="123879424"/>
        <c:axId val="50169536"/>
      </c:lineChart>
      <c:catAx>
        <c:axId val="123879424"/>
        <c:scaling>
          <c:orientation val="minMax"/>
        </c:scaling>
        <c:delete val="0"/>
        <c:axPos val="b"/>
        <c:numFmt formatCode="General" sourceLinked="1"/>
        <c:majorTickMark val="none"/>
        <c:minorTickMark val="none"/>
        <c:tickLblPos val="nextTo"/>
        <c:crossAx val="50169536"/>
        <c:crosses val="autoZero"/>
        <c:auto val="1"/>
        <c:lblAlgn val="ctr"/>
        <c:lblOffset val="100"/>
        <c:noMultiLvlLbl val="0"/>
      </c:catAx>
      <c:valAx>
        <c:axId val="50169536"/>
        <c:scaling>
          <c:orientation val="minMax"/>
        </c:scaling>
        <c:delete val="0"/>
        <c:axPos val="l"/>
        <c:majorGridlines/>
        <c:title>
          <c:tx>
            <c:rich>
              <a:bodyPr/>
              <a:lstStyle/>
              <a:p>
                <a:pPr>
                  <a:defRPr b="0"/>
                </a:pPr>
                <a:r>
                  <a:rPr lang="en-US" b="0">
                    <a:latin typeface="Gill Sans MT" pitchFamily="34" charset="0"/>
                  </a:rPr>
                  <a:t>Rater Per 100,000 Licensed</a:t>
                </a:r>
                <a:r>
                  <a:rPr lang="en-US" b="0" baseline="0">
                    <a:latin typeface="Gill Sans MT" pitchFamily="34" charset="0"/>
                  </a:rPr>
                  <a:t> Drivers</a:t>
                </a:r>
              </a:p>
            </c:rich>
          </c:tx>
          <c:layout>
            <c:manualLayout>
              <c:xMode val="edge"/>
              <c:yMode val="edge"/>
              <c:x val="5.4901911299549133E-2"/>
              <c:y val="0.2232830271216098"/>
            </c:manualLayout>
          </c:layout>
          <c:overlay val="0"/>
        </c:title>
        <c:numFmt formatCode="0" sourceLinked="1"/>
        <c:majorTickMark val="none"/>
        <c:minorTickMark val="none"/>
        <c:tickLblPos val="nextTo"/>
        <c:txPr>
          <a:bodyPr/>
          <a:lstStyle/>
          <a:p>
            <a:pPr>
              <a:defRPr>
                <a:latin typeface="Gill Sans MT" pitchFamily="34" charset="0"/>
              </a:defRPr>
            </a:pPr>
            <a:endParaRPr lang="en-US"/>
          </a:p>
        </c:txPr>
        <c:crossAx val="123879424"/>
        <c:crosses val="autoZero"/>
        <c:crossBetween val="between"/>
        <c:majorUnit val="40"/>
      </c:valAx>
      <c:dTable>
        <c:showHorzBorder val="1"/>
        <c:showVertBorder val="1"/>
        <c:showOutline val="1"/>
        <c:showKeys val="1"/>
        <c:txPr>
          <a:bodyPr/>
          <a:lstStyle/>
          <a:p>
            <a:pPr rtl="0">
              <a:defRPr>
                <a:latin typeface="Gill Sans MT" pitchFamily="34" charset="0"/>
              </a:defRPr>
            </a:pPr>
            <a:endParaRPr lang="en-US"/>
          </a:p>
        </c:txPr>
      </c:dTable>
    </c:plotArea>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sz="1000"/>
            </a:pPr>
            <a:r>
              <a:rPr lang="en-US" sz="1000">
                <a:latin typeface="Gill Sans MT" pitchFamily="34" charset="0"/>
              </a:rPr>
              <a:t>Rate of Alcohol Related Vehicle Crashes Resulting in Death in Louisiana (2001-2011)</a:t>
            </a:r>
          </a:p>
        </c:rich>
      </c:tx>
      <c:layout/>
      <c:overlay val="0"/>
    </c:title>
    <c:autoTitleDeleted val="0"/>
    <c:plotArea>
      <c:layout/>
      <c:lineChart>
        <c:grouping val="standard"/>
        <c:varyColors val="0"/>
        <c:ser>
          <c:idx val="0"/>
          <c:order val="0"/>
          <c:tx>
            <c:v>Louisiana</c:v>
          </c:tx>
          <c:marker>
            <c:symbol val="diamond"/>
            <c:size val="6"/>
          </c:marker>
          <c:cat>
            <c:numRef>
              <c:f>'Alcohol_Rel_Veh_Crashes-Fatal'!$B$6:$L$6</c:f>
              <c:numCache>
                <c:formatCode>General</c:formatCode>
                <c:ptCount val="11"/>
                <c:pt idx="0">
                  <c:v>2001</c:v>
                </c:pt>
                <c:pt idx="1">
                  <c:v>2002</c:v>
                </c:pt>
                <c:pt idx="2">
                  <c:v>2003</c:v>
                </c:pt>
                <c:pt idx="3">
                  <c:v>2004</c:v>
                </c:pt>
                <c:pt idx="4">
                  <c:v>2005</c:v>
                </c:pt>
                <c:pt idx="5">
                  <c:v>2006</c:v>
                </c:pt>
                <c:pt idx="6">
                  <c:v>2007</c:v>
                </c:pt>
                <c:pt idx="7">
                  <c:v>2008</c:v>
                </c:pt>
                <c:pt idx="8">
                  <c:v>2009</c:v>
                </c:pt>
                <c:pt idx="9">
                  <c:v>2010</c:v>
                </c:pt>
                <c:pt idx="10">
                  <c:v>2011</c:v>
                </c:pt>
              </c:numCache>
            </c:numRef>
          </c:cat>
          <c:val>
            <c:numRef>
              <c:f>'Alcohol_Rel_Veh_Crashes-Fatal'!$B$71:$L$71</c:f>
              <c:numCache>
                <c:formatCode>0</c:formatCode>
                <c:ptCount val="11"/>
                <c:pt idx="0">
                  <c:v>14.2206650022696</c:v>
                </c:pt>
                <c:pt idx="1">
                  <c:v>13.597706567128618</c:v>
                </c:pt>
                <c:pt idx="2">
                  <c:v>13.147752105495798</c:v>
                </c:pt>
                <c:pt idx="3">
                  <c:v>13.773326610555101</c:v>
                </c:pt>
                <c:pt idx="4">
                  <c:v>12.792185543157199</c:v>
                </c:pt>
                <c:pt idx="5">
                  <c:v>14.321926799896699</c:v>
                </c:pt>
                <c:pt idx="6">
                  <c:v>15.396670373142006</c:v>
                </c:pt>
                <c:pt idx="7">
                  <c:v>13.9578207282756</c:v>
                </c:pt>
                <c:pt idx="8">
                  <c:v>12.343943529780304</c:v>
                </c:pt>
                <c:pt idx="9">
                  <c:v>9.6549892418323804</c:v>
                </c:pt>
                <c:pt idx="10">
                  <c:v>9.1442658034479685</c:v>
                </c:pt>
              </c:numCache>
            </c:numRef>
          </c:val>
          <c:smooth val="0"/>
        </c:ser>
        <c:dLbls>
          <c:showLegendKey val="0"/>
          <c:showVal val="0"/>
          <c:showCatName val="0"/>
          <c:showSerName val="0"/>
          <c:showPercent val="0"/>
          <c:showBubbleSize val="0"/>
        </c:dLbls>
        <c:marker val="1"/>
        <c:smooth val="0"/>
        <c:axId val="123880960"/>
        <c:axId val="50171840"/>
      </c:lineChart>
      <c:catAx>
        <c:axId val="123880960"/>
        <c:scaling>
          <c:orientation val="minMax"/>
        </c:scaling>
        <c:delete val="0"/>
        <c:axPos val="b"/>
        <c:numFmt formatCode="General" sourceLinked="1"/>
        <c:majorTickMark val="none"/>
        <c:minorTickMark val="none"/>
        <c:tickLblPos val="nextTo"/>
        <c:crossAx val="50171840"/>
        <c:crosses val="autoZero"/>
        <c:auto val="1"/>
        <c:lblAlgn val="ctr"/>
        <c:lblOffset val="100"/>
        <c:noMultiLvlLbl val="0"/>
      </c:catAx>
      <c:valAx>
        <c:axId val="50171840"/>
        <c:scaling>
          <c:orientation val="minMax"/>
        </c:scaling>
        <c:delete val="0"/>
        <c:axPos val="l"/>
        <c:majorGridlines/>
        <c:title>
          <c:tx>
            <c:rich>
              <a:bodyPr/>
              <a:lstStyle/>
              <a:p>
                <a:pPr>
                  <a:defRPr b="0"/>
                </a:pPr>
                <a:r>
                  <a:rPr lang="en-US" b="0">
                    <a:latin typeface="Gill Sans MT" pitchFamily="34" charset="0"/>
                  </a:rPr>
                  <a:t>Rate Per 100,000 Licensed Drivers</a:t>
                </a:r>
              </a:p>
            </c:rich>
          </c:tx>
          <c:layout>
            <c:manualLayout>
              <c:xMode val="edge"/>
              <c:yMode val="edge"/>
              <c:x val="6.3860623191331983E-2"/>
              <c:y val="0.23461486735645648"/>
            </c:manualLayout>
          </c:layout>
          <c:overlay val="0"/>
        </c:title>
        <c:numFmt formatCode="0" sourceLinked="1"/>
        <c:majorTickMark val="none"/>
        <c:minorTickMark val="none"/>
        <c:tickLblPos val="nextTo"/>
        <c:txPr>
          <a:bodyPr/>
          <a:lstStyle/>
          <a:p>
            <a:pPr>
              <a:defRPr>
                <a:latin typeface="Gill Sans MT" pitchFamily="34" charset="0"/>
              </a:defRPr>
            </a:pPr>
            <a:endParaRPr lang="en-US"/>
          </a:p>
        </c:txPr>
        <c:crossAx val="123880960"/>
        <c:crosses val="autoZero"/>
        <c:crossBetween val="between"/>
      </c:valAx>
      <c:dTable>
        <c:showHorzBorder val="1"/>
        <c:showVertBorder val="1"/>
        <c:showOutline val="1"/>
        <c:showKeys val="1"/>
        <c:txPr>
          <a:bodyPr/>
          <a:lstStyle/>
          <a:p>
            <a:pPr rtl="0">
              <a:defRPr>
                <a:latin typeface="Gill Sans MT" pitchFamily="34" charset="0"/>
              </a:defRPr>
            </a:pPr>
            <a:endParaRPr lang="en-US"/>
          </a:p>
        </c:txPr>
      </c:dTable>
    </c:plotArea>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sz="1000"/>
            </a:pPr>
            <a:r>
              <a:rPr lang="en-US" sz="1000"/>
              <a:t>Percentage of Adults Indicating Current Drinking, Louisiana vs. United States (2001-2011)</a:t>
            </a:r>
          </a:p>
        </c:rich>
      </c:tx>
      <c:layout/>
      <c:overlay val="0"/>
    </c:title>
    <c:autoTitleDeleted val="0"/>
    <c:plotArea>
      <c:layout/>
      <c:lineChart>
        <c:grouping val="standard"/>
        <c:varyColors val="0"/>
        <c:ser>
          <c:idx val="0"/>
          <c:order val="0"/>
          <c:tx>
            <c:v>Louisiana</c:v>
          </c:tx>
          <c:spPr>
            <a:ln>
              <a:solidFill>
                <a:srgbClr val="0075B0"/>
              </a:solidFill>
            </a:ln>
          </c:spPr>
          <c:marker>
            <c:symbol val="diamond"/>
            <c:size val="6"/>
            <c:spPr>
              <a:solidFill>
                <a:srgbClr val="0075B0"/>
              </a:solidFill>
            </c:spPr>
          </c:marker>
          <c:cat>
            <c:numRef>
              <c:f>Adult_Current_Drinking!$B$6:$L$6</c:f>
              <c:numCache>
                <c:formatCode>General</c:formatCode>
                <c:ptCount val="11"/>
                <c:pt idx="0">
                  <c:v>2001</c:v>
                </c:pt>
                <c:pt idx="1">
                  <c:v>2002</c:v>
                </c:pt>
                <c:pt idx="2">
                  <c:v>2003</c:v>
                </c:pt>
                <c:pt idx="3">
                  <c:v>2004</c:v>
                </c:pt>
                <c:pt idx="4">
                  <c:v>2005</c:v>
                </c:pt>
                <c:pt idx="5">
                  <c:v>2006</c:v>
                </c:pt>
                <c:pt idx="6">
                  <c:v>2007</c:v>
                </c:pt>
                <c:pt idx="7">
                  <c:v>2008</c:v>
                </c:pt>
                <c:pt idx="8">
                  <c:v>2009</c:v>
                </c:pt>
                <c:pt idx="9">
                  <c:v>2010</c:v>
                </c:pt>
                <c:pt idx="10">
                  <c:v>2011</c:v>
                </c:pt>
              </c:numCache>
            </c:numRef>
          </c:cat>
          <c:val>
            <c:numRef>
              <c:f>Adult_Current_Drinking!$B$7:$L$7</c:f>
              <c:numCache>
                <c:formatCode>0.0</c:formatCode>
                <c:ptCount val="11"/>
                <c:pt idx="0">
                  <c:v>44.9</c:v>
                </c:pt>
                <c:pt idx="1">
                  <c:v>45.2</c:v>
                </c:pt>
                <c:pt idx="2">
                  <c:v>47.8</c:v>
                </c:pt>
                <c:pt idx="3">
                  <c:v>45</c:v>
                </c:pt>
                <c:pt idx="4">
                  <c:v>43.5</c:v>
                </c:pt>
                <c:pt idx="5">
                  <c:v>46</c:v>
                </c:pt>
                <c:pt idx="6">
                  <c:v>46.2</c:v>
                </c:pt>
                <c:pt idx="7">
                  <c:v>46.5</c:v>
                </c:pt>
                <c:pt idx="8">
                  <c:v>48.1</c:v>
                </c:pt>
                <c:pt idx="9">
                  <c:v>48.9</c:v>
                </c:pt>
                <c:pt idx="10">
                  <c:v>49.6</c:v>
                </c:pt>
              </c:numCache>
            </c:numRef>
          </c:val>
          <c:smooth val="0"/>
        </c:ser>
        <c:ser>
          <c:idx val="1"/>
          <c:order val="1"/>
          <c:tx>
            <c:v>United States</c:v>
          </c:tx>
          <c:spPr>
            <a:ln>
              <a:solidFill>
                <a:srgbClr val="FAB037"/>
              </a:solidFill>
            </a:ln>
          </c:spPr>
          <c:marker>
            <c:symbol val="diamond"/>
            <c:size val="6"/>
            <c:spPr>
              <a:solidFill>
                <a:srgbClr val="FAB037"/>
              </a:solidFill>
            </c:spPr>
          </c:marker>
          <c:cat>
            <c:numRef>
              <c:f>Adult_Current_Drinking!$B$6:$L$6</c:f>
              <c:numCache>
                <c:formatCode>General</c:formatCode>
                <c:ptCount val="11"/>
                <c:pt idx="0">
                  <c:v>2001</c:v>
                </c:pt>
                <c:pt idx="1">
                  <c:v>2002</c:v>
                </c:pt>
                <c:pt idx="2">
                  <c:v>2003</c:v>
                </c:pt>
                <c:pt idx="3">
                  <c:v>2004</c:v>
                </c:pt>
                <c:pt idx="4">
                  <c:v>2005</c:v>
                </c:pt>
                <c:pt idx="5">
                  <c:v>2006</c:v>
                </c:pt>
                <c:pt idx="6">
                  <c:v>2007</c:v>
                </c:pt>
                <c:pt idx="7">
                  <c:v>2008</c:v>
                </c:pt>
                <c:pt idx="8">
                  <c:v>2009</c:v>
                </c:pt>
                <c:pt idx="9">
                  <c:v>2010</c:v>
                </c:pt>
                <c:pt idx="10">
                  <c:v>2011</c:v>
                </c:pt>
              </c:numCache>
            </c:numRef>
          </c:cat>
          <c:val>
            <c:numRef>
              <c:f>Adult_Current_Drinking!$B$8:$L$8</c:f>
              <c:numCache>
                <c:formatCode>0.0</c:formatCode>
                <c:ptCount val="11"/>
                <c:pt idx="0">
                  <c:v>55.8</c:v>
                </c:pt>
                <c:pt idx="1">
                  <c:v>58.1</c:v>
                </c:pt>
                <c:pt idx="2">
                  <c:v>59.4</c:v>
                </c:pt>
                <c:pt idx="3">
                  <c:v>57.1</c:v>
                </c:pt>
                <c:pt idx="4">
                  <c:v>56.2</c:v>
                </c:pt>
                <c:pt idx="5">
                  <c:v>55.4</c:v>
                </c:pt>
                <c:pt idx="6">
                  <c:v>54.8</c:v>
                </c:pt>
                <c:pt idx="7">
                  <c:v>54.5</c:v>
                </c:pt>
                <c:pt idx="8">
                  <c:v>53.85</c:v>
                </c:pt>
                <c:pt idx="9">
                  <c:v>54.15</c:v>
                </c:pt>
                <c:pt idx="10">
                  <c:v>57.05</c:v>
                </c:pt>
              </c:numCache>
            </c:numRef>
          </c:val>
          <c:smooth val="0"/>
        </c:ser>
        <c:dLbls>
          <c:showLegendKey val="0"/>
          <c:showVal val="0"/>
          <c:showCatName val="0"/>
          <c:showSerName val="0"/>
          <c:showPercent val="0"/>
          <c:showBubbleSize val="0"/>
        </c:dLbls>
        <c:marker val="1"/>
        <c:smooth val="0"/>
        <c:axId val="126297088"/>
        <c:axId val="50173568"/>
      </c:lineChart>
      <c:catAx>
        <c:axId val="126297088"/>
        <c:scaling>
          <c:orientation val="minMax"/>
        </c:scaling>
        <c:delete val="0"/>
        <c:axPos val="b"/>
        <c:numFmt formatCode="General" sourceLinked="1"/>
        <c:majorTickMark val="none"/>
        <c:minorTickMark val="none"/>
        <c:tickLblPos val="nextTo"/>
        <c:crossAx val="50173568"/>
        <c:crosses val="autoZero"/>
        <c:auto val="1"/>
        <c:lblAlgn val="ctr"/>
        <c:lblOffset val="100"/>
        <c:noMultiLvlLbl val="0"/>
      </c:catAx>
      <c:valAx>
        <c:axId val="50173568"/>
        <c:scaling>
          <c:orientation val="minMax"/>
        </c:scaling>
        <c:delete val="0"/>
        <c:axPos val="l"/>
        <c:majorGridlines/>
        <c:title>
          <c:tx>
            <c:rich>
              <a:bodyPr/>
              <a:lstStyle/>
              <a:p>
                <a:pPr>
                  <a:defRPr b="0"/>
                </a:pPr>
                <a:r>
                  <a:rPr lang="en-US" b="0"/>
                  <a:t>Percentage</a:t>
                </a:r>
              </a:p>
            </c:rich>
          </c:tx>
          <c:layout>
            <c:manualLayout>
              <c:xMode val="edge"/>
              <c:yMode val="edge"/>
              <c:x val="8.3973374295954945E-2"/>
              <c:y val="0.41383400188184127"/>
            </c:manualLayout>
          </c:layout>
          <c:overlay val="0"/>
        </c:title>
        <c:numFmt formatCode="0" sourceLinked="0"/>
        <c:majorTickMark val="none"/>
        <c:minorTickMark val="none"/>
        <c:tickLblPos val="nextTo"/>
        <c:crossAx val="126297088"/>
        <c:crosses val="autoZero"/>
        <c:crossBetween val="between"/>
      </c:valAx>
      <c:dTable>
        <c:showHorzBorder val="1"/>
        <c:showVertBorder val="1"/>
        <c:showOutline val="1"/>
        <c:showKeys val="1"/>
      </c:dTable>
    </c:plotArea>
    <c:plotVisOnly val="1"/>
    <c:dispBlanksAs val="gap"/>
    <c:showDLblsOverMax val="0"/>
  </c:chart>
  <c:spPr>
    <a:ln>
      <a:noFill/>
    </a:ln>
  </c:spPr>
  <c:txPr>
    <a:bodyPr/>
    <a:lstStyle/>
    <a:p>
      <a:pPr>
        <a:defRPr>
          <a:latin typeface="Gill Sans MT"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8634D0-3FF7-4E7A-9440-0A9B2D8EC69E}">
  <ds:schemaRefs>
    <ds:schemaRef ds:uri="http://schemas.openxmlformats.org/officeDocument/2006/bibliography"/>
  </ds:schemaRefs>
</ds:datastoreItem>
</file>

<file path=customXml/itemProps2.xml><?xml version="1.0" encoding="utf-8"?>
<ds:datastoreItem xmlns:ds="http://schemas.openxmlformats.org/officeDocument/2006/customXml" ds:itemID="{3E1434B8-EB7E-4852-BF22-A9D9DBF98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50</Pages>
  <Words>11583</Words>
  <Characters>66027</Characters>
  <Application>Microsoft Office Word</Application>
  <DocSecurity>0</DocSecurity>
  <Lines>550</Lines>
  <Paragraphs>154</Paragraphs>
  <ScaleCrop>false</ScaleCrop>
  <HeadingPairs>
    <vt:vector size="2" baseType="variant">
      <vt:variant>
        <vt:lpstr>Title</vt:lpstr>
      </vt:variant>
      <vt:variant>
        <vt:i4>1</vt:i4>
      </vt:variant>
    </vt:vector>
  </HeadingPairs>
  <TitlesOfParts>
    <vt:vector size="1" baseType="lpstr">
      <vt:lpstr/>
    </vt:vector>
  </TitlesOfParts>
  <Company>University of Louisiana at Lafayette</Company>
  <LinksUpToDate>false</LinksUpToDate>
  <CharactersWithSpaces>77456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aseal</dc:creator>
  <cp:lastModifiedBy>Missy Graves</cp:lastModifiedBy>
  <cp:revision>3</cp:revision>
  <cp:lastPrinted>2013-07-29T20:42:00Z</cp:lastPrinted>
  <dcterms:created xsi:type="dcterms:W3CDTF">2013-07-30T16:37:00Z</dcterms:created>
  <dcterms:modified xsi:type="dcterms:W3CDTF">2013-07-30T16:46:00Z</dcterms:modified>
</cp:coreProperties>
</file>